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359E3" w14:textId="77777777" w:rsidR="00D81E53" w:rsidRPr="002A74B8" w:rsidRDefault="00D81E53" w:rsidP="00D81E53">
      <w:pPr>
        <w:jc w:val="center"/>
        <w:rPr>
          <w:b/>
          <w:bCs/>
        </w:rPr>
      </w:pPr>
      <w:r w:rsidRPr="002A74B8">
        <w:rPr>
          <w:b/>
          <w:bCs/>
        </w:rPr>
        <w:t>Verbale della riunione della Commissione Ricerca del DFA</w:t>
      </w:r>
    </w:p>
    <w:p w14:paraId="16673CDB" w14:textId="40AAAF2D" w:rsidR="00D81E53" w:rsidRDefault="00D81E53" w:rsidP="00D81E53">
      <w:pPr>
        <w:jc w:val="center"/>
      </w:pPr>
      <w:r w:rsidRPr="002A74B8">
        <w:rPr>
          <w:b/>
          <w:bCs/>
        </w:rPr>
        <w:t xml:space="preserve">Riunione </w:t>
      </w:r>
      <w:r w:rsidR="003F5FA0">
        <w:rPr>
          <w:b/>
          <w:bCs/>
        </w:rPr>
        <w:t>0</w:t>
      </w:r>
      <w:r w:rsidR="00C259D8">
        <w:rPr>
          <w:b/>
          <w:bCs/>
        </w:rPr>
        <w:t>6</w:t>
      </w:r>
      <w:r w:rsidR="003F5FA0">
        <w:rPr>
          <w:b/>
          <w:bCs/>
        </w:rPr>
        <w:t xml:space="preserve">/2021 </w:t>
      </w:r>
      <w:r w:rsidRPr="002A74B8">
        <w:rPr>
          <w:b/>
          <w:bCs/>
        </w:rPr>
        <w:t xml:space="preserve">del </w:t>
      </w:r>
      <w:r w:rsidR="00C259D8">
        <w:rPr>
          <w:b/>
          <w:bCs/>
        </w:rPr>
        <w:t>12</w:t>
      </w:r>
      <w:r w:rsidRPr="002A74B8">
        <w:rPr>
          <w:b/>
          <w:bCs/>
        </w:rPr>
        <w:t xml:space="preserve"> </w:t>
      </w:r>
      <w:r w:rsidR="00C259D8">
        <w:rPr>
          <w:b/>
          <w:bCs/>
        </w:rPr>
        <w:t>Novembre</w:t>
      </w:r>
      <w:r w:rsidRPr="002A74B8">
        <w:rPr>
          <w:b/>
          <w:bCs/>
        </w:rPr>
        <w:t xml:space="preserve"> 2021</w:t>
      </w:r>
    </w:p>
    <w:p w14:paraId="11964CD7" w14:textId="77777777" w:rsidR="00D81E53" w:rsidRDefault="00D81E53" w:rsidP="00A2364E">
      <w:pPr>
        <w:spacing w:line="240" w:lineRule="auto"/>
        <w:jc w:val="both"/>
      </w:pPr>
    </w:p>
    <w:p w14:paraId="1B254D6C" w14:textId="635019D1" w:rsidR="00D81E53" w:rsidRDefault="00D81E53" w:rsidP="00A2364E">
      <w:pPr>
        <w:spacing w:line="240" w:lineRule="auto"/>
        <w:jc w:val="both"/>
      </w:pPr>
      <w:r>
        <w:t xml:space="preserve">Il giorno </w:t>
      </w:r>
      <w:r w:rsidR="00C259D8">
        <w:t xml:space="preserve">12 </w:t>
      </w:r>
      <w:proofErr w:type="gramStart"/>
      <w:r w:rsidR="00C259D8">
        <w:t>Novembre</w:t>
      </w:r>
      <w:proofErr w:type="gramEnd"/>
      <w:r>
        <w:t xml:space="preserve"> 2021 alle ore </w:t>
      </w:r>
      <w:r w:rsidR="004F205B">
        <w:t>09</w:t>
      </w:r>
      <w:r>
        <w:t>:</w:t>
      </w:r>
      <w:r w:rsidR="002458C9">
        <w:t>15</w:t>
      </w:r>
      <w:r>
        <w:t xml:space="preserve"> si riuniscono</w:t>
      </w:r>
      <w:r w:rsidR="004F205B">
        <w:t>, presso i locali del Dipartimento di Fisica e Astronomia (DFA) “E. Majorana” dell’UniCT,</w:t>
      </w:r>
      <w:r>
        <w:t xml:space="preserve"> i membri della Commissione Ricerca </w:t>
      </w:r>
      <w:r w:rsidR="004F205B">
        <w:t>del</w:t>
      </w:r>
      <w:r>
        <w:t xml:space="preserve"> DFA. Intervengono alla riunione i proff. S. Mirabella (Presidente), </w:t>
      </w:r>
      <w:r w:rsidR="00C259D8">
        <w:t xml:space="preserve">R. Barbera (in via telematica), </w:t>
      </w:r>
      <w:r>
        <w:t xml:space="preserve">L. Lamia, L. </w:t>
      </w:r>
      <w:proofErr w:type="spellStart"/>
      <w:r>
        <w:t>Lanzanò</w:t>
      </w:r>
      <w:proofErr w:type="spellEnd"/>
      <w:r w:rsidR="00C259D8">
        <w:t xml:space="preserve"> e </w:t>
      </w:r>
      <w:r>
        <w:t>S. Plumari per discutere i seguenti punti all’ODG:</w:t>
      </w:r>
    </w:p>
    <w:p w14:paraId="0117F963" w14:textId="1E1B82C5" w:rsidR="00D81E53" w:rsidRPr="00C70105" w:rsidRDefault="00D81E53" w:rsidP="00A2364E">
      <w:pPr>
        <w:spacing w:line="240" w:lineRule="auto"/>
        <w:jc w:val="both"/>
        <w:rPr>
          <w:b/>
          <w:bCs/>
        </w:rPr>
      </w:pPr>
      <w:r>
        <w:t xml:space="preserve">1) </w:t>
      </w:r>
      <w:r w:rsidR="00BB676D">
        <w:rPr>
          <w:b/>
          <w:bCs/>
        </w:rPr>
        <w:t>Stato avanzamento lavori per nuovo sito web DFA</w:t>
      </w:r>
      <w:r w:rsidR="00A2364E">
        <w:rPr>
          <w:b/>
          <w:bCs/>
        </w:rPr>
        <w:t xml:space="preserve"> – sezione RICERCA</w:t>
      </w:r>
    </w:p>
    <w:p w14:paraId="25F1C2A9" w14:textId="5EC5BF7D" w:rsidR="00377223" w:rsidRDefault="00BB676D" w:rsidP="00A2364E">
      <w:pPr>
        <w:spacing w:line="240" w:lineRule="auto"/>
        <w:jc w:val="both"/>
      </w:pPr>
      <w:r>
        <w:t>Il presidente illustra la nuova veste del</w:t>
      </w:r>
      <w:r w:rsidR="00A2364E">
        <w:t>la sezione RICERCA</w:t>
      </w:r>
      <w:r>
        <w:t xml:space="preserve"> sito </w:t>
      </w:r>
      <w:r w:rsidR="00A2364E">
        <w:t xml:space="preserve">web </w:t>
      </w:r>
      <w:r>
        <w:t xml:space="preserve">di dipartimento che farà riferimento, ove possibile, a quanto previsto dal piano strategico vigente. Saranno presenti dunque le diverse </w:t>
      </w:r>
      <w:proofErr w:type="spellStart"/>
      <w:r>
        <w:t>macroaree</w:t>
      </w:r>
      <w:proofErr w:type="spellEnd"/>
      <w:r>
        <w:t xml:space="preserve"> dalle quali si potrà accedere alle attività di ricerca seguite dal personale docente afferente al DFA. Il presidente invita i proff. Barber</w:t>
      </w:r>
      <w:r w:rsidR="00A2364E">
        <w:t>a</w:t>
      </w:r>
      <w:r>
        <w:t xml:space="preserve">, </w:t>
      </w:r>
      <w:proofErr w:type="spellStart"/>
      <w:r>
        <w:t>Lanzanò</w:t>
      </w:r>
      <w:proofErr w:type="spellEnd"/>
      <w:r>
        <w:t xml:space="preserve"> e Plumari a contattare i vari referenti di macro area al fine di dettagliare i contenuti che dovranno essere esposti nelle nuove pagine web. </w:t>
      </w:r>
    </w:p>
    <w:p w14:paraId="1392CB9E" w14:textId="111B8402" w:rsidR="00BB676D" w:rsidRPr="00C70105" w:rsidRDefault="00BB676D" w:rsidP="00A2364E">
      <w:pPr>
        <w:spacing w:line="240" w:lineRule="auto"/>
        <w:jc w:val="both"/>
        <w:rPr>
          <w:b/>
          <w:bCs/>
        </w:rPr>
      </w:pPr>
      <w:r>
        <w:t xml:space="preserve">2) </w:t>
      </w:r>
      <w:r w:rsidRPr="00C70105">
        <w:rPr>
          <w:b/>
          <w:bCs/>
        </w:rPr>
        <w:t xml:space="preserve">Stato avanzamento </w:t>
      </w:r>
      <w:proofErr w:type="spellStart"/>
      <w:r w:rsidRPr="00C70105">
        <w:rPr>
          <w:b/>
          <w:bCs/>
        </w:rPr>
        <w:t>Singletron</w:t>
      </w:r>
      <w:proofErr w:type="spellEnd"/>
    </w:p>
    <w:p w14:paraId="0BE8A3BF" w14:textId="22DCE8EE" w:rsidR="006B7C23" w:rsidRDefault="00BB676D" w:rsidP="00A2364E">
      <w:pPr>
        <w:spacing w:line="240" w:lineRule="auto"/>
        <w:jc w:val="both"/>
      </w:pPr>
      <w:r>
        <w:t xml:space="preserve">Il presidente cede la parola al prof. Lamia. Sono in corso le procedure di finalizzazione del progetto della nuova camera sperimentale e della nuova linea sperimentale MULTI che permetterà l’utilizzo dell’acceleratore </w:t>
      </w:r>
      <w:proofErr w:type="spellStart"/>
      <w:r>
        <w:t>Singletron</w:t>
      </w:r>
      <w:proofErr w:type="spellEnd"/>
      <w:r>
        <w:t xml:space="preserve"> 3.5MV da parte della comunità scientifica. Accanto alla progettazione della linea e della camera, viene parallelamente sviluppato il sistema di pompaggio al fine di mantenere le condizioni di vuoto utili per i futuri esperimenti. Al fine delle realizzazioni di cui sopra, la commissione ricerca viene supportata da personale tecnico dell’INFN-LNS opportunamente individuato dalla Divisione Ricerca dell’ente stesso. </w:t>
      </w:r>
      <w:r w:rsidR="00E13979">
        <w:t>Viene presentata una prima bozza della camera cilindrica, avente diametro di 100 cm e altezza di 50 cm. La camera sarà dotata di 2 bracci che potranno ruotare indipendentemente rispetto all’asse verticale individuato dal porta-bersagli.</w:t>
      </w:r>
      <w:r w:rsidR="00C06D7D">
        <w:t xml:space="preserve"> La movimentazione dei bracci nonché del target (traslazione verticale e rotazione attorno all’asse verticale) sarà realizzata tramite opportuno supporto meccanico esterno alla camera. I movimenti di cui sopra potranno essere realizzati anche in condizioni di vuoto. La camera sarà inoltre prevista di diverse flange nonché di opportuno sistema meccanico per apertura/chiusura portellone superiore. Parallelamente, si porta avanti la progettazione del sistema “vuoto” sia per la linea che per la camera. Il collega dei INFN-LNS ha già individuato tutti i possibili componenti (pompe rotative e </w:t>
      </w:r>
      <w:proofErr w:type="spellStart"/>
      <w:r w:rsidR="00C06D7D">
        <w:t>turbomolecolari</w:t>
      </w:r>
      <w:proofErr w:type="spellEnd"/>
      <w:r w:rsidR="00C06D7D">
        <w:t xml:space="preserve"> e relativi sistemi, valvole di </w:t>
      </w:r>
      <w:proofErr w:type="gramStart"/>
      <w:r w:rsidR="00C06D7D">
        <w:t>linea,…</w:t>
      </w:r>
      <w:proofErr w:type="gramEnd"/>
      <w:r w:rsidR="00C06D7D">
        <w:t xml:space="preserve">) per i quali adesso occorrerà opportunamente valutarne (ai fini del progetto) i relativi ingombri. </w:t>
      </w:r>
      <w:r w:rsidR="006B7C23">
        <w:t>Successivamente, si farà una valutazione dei costi al fine di procedere quanto prima ai diversi ordini.</w:t>
      </w:r>
    </w:p>
    <w:p w14:paraId="619024C8" w14:textId="52466A55" w:rsidR="00377223" w:rsidRDefault="00EE2CA1" w:rsidP="00A2364E">
      <w:pPr>
        <w:spacing w:line="240" w:lineRule="auto"/>
        <w:jc w:val="both"/>
        <w:rPr>
          <w:b/>
          <w:bCs/>
        </w:rPr>
      </w:pPr>
      <w:r>
        <w:t>3</w:t>
      </w:r>
      <w:r w:rsidR="00377223">
        <w:t xml:space="preserve">) </w:t>
      </w:r>
      <w:r w:rsidR="00377223">
        <w:rPr>
          <w:b/>
          <w:bCs/>
        </w:rPr>
        <w:t>Progetti di ricerca</w:t>
      </w:r>
    </w:p>
    <w:p w14:paraId="691D3E71" w14:textId="4CFB491C" w:rsidR="00D84DAF" w:rsidRDefault="00EE2CA1" w:rsidP="00A2364E">
      <w:pPr>
        <w:spacing w:line="240" w:lineRule="auto"/>
        <w:jc w:val="both"/>
      </w:pPr>
      <w:r>
        <w:t xml:space="preserve">Il presidente </w:t>
      </w:r>
      <w:r w:rsidR="0026526D">
        <w:t>e la CR tutta discutono circa le prospettive offerte dal PNRR MUR. Il presidente auspica possa esserci opportuna diffusione all’interno del DFA.</w:t>
      </w:r>
    </w:p>
    <w:p w14:paraId="28202695" w14:textId="673E7186" w:rsidR="00D81E53" w:rsidRDefault="00D81E53" w:rsidP="00A2364E">
      <w:pPr>
        <w:spacing w:line="240" w:lineRule="auto"/>
        <w:jc w:val="both"/>
      </w:pPr>
      <w:r>
        <w:t xml:space="preserve">Alle ore </w:t>
      </w:r>
      <w:r w:rsidR="00EE2CA1">
        <w:t>09</w:t>
      </w:r>
      <w:r>
        <w:t>:</w:t>
      </w:r>
      <w:r w:rsidR="00EE2CA1">
        <w:t>45</w:t>
      </w:r>
      <w:r>
        <w:t xml:space="preserve"> la riunione viene dichiarata chiusa.</w:t>
      </w:r>
    </w:p>
    <w:p w14:paraId="39A2D462" w14:textId="7E24E1AD" w:rsidR="00D81E53" w:rsidRDefault="00C1034D" w:rsidP="00A2364E">
      <w:pPr>
        <w:spacing w:line="240" w:lineRule="auto"/>
        <w:jc w:val="both"/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8157BCE" wp14:editId="2A9306C6">
            <wp:simplePos x="0" y="0"/>
            <wp:positionH relativeFrom="column">
              <wp:posOffset>3962400</wp:posOffset>
            </wp:positionH>
            <wp:positionV relativeFrom="paragraph">
              <wp:posOffset>161925</wp:posOffset>
            </wp:positionV>
            <wp:extent cx="2337435" cy="720090"/>
            <wp:effectExtent l="0" t="0" r="5715" b="3810"/>
            <wp:wrapNone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E53">
        <w:t xml:space="preserve">Firma del segretario </w:t>
      </w:r>
      <w:r w:rsidR="00D81E53">
        <w:tab/>
      </w:r>
      <w:r w:rsidR="00D81E53">
        <w:tab/>
      </w:r>
      <w:r w:rsidR="00D81E53">
        <w:tab/>
      </w:r>
      <w:r w:rsidR="00D81E53">
        <w:tab/>
      </w:r>
      <w:r w:rsidR="00D81E53">
        <w:tab/>
      </w:r>
      <w:r w:rsidR="00D81E53">
        <w:tab/>
      </w:r>
      <w:r w:rsidR="00D81E53">
        <w:tab/>
      </w:r>
      <w:r w:rsidR="00D81E53">
        <w:tab/>
        <w:t>Firma del Presidente</w:t>
      </w:r>
    </w:p>
    <w:p w14:paraId="36BA9768" w14:textId="04879767" w:rsidR="00D81E53" w:rsidRDefault="00D81E53" w:rsidP="00A2364E">
      <w:pPr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4F4886" wp14:editId="228EB1E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32230" cy="496570"/>
            <wp:effectExtent l="0" t="0" r="0" b="0"/>
            <wp:wrapNone/>
            <wp:docPr id="3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2EF41" w14:textId="0D9E0A1B" w:rsidR="006C303E" w:rsidRDefault="006C303E">
      <w:bookmarkStart w:id="0" w:name="_GoBack"/>
      <w:bookmarkEnd w:id="0"/>
    </w:p>
    <w:p w14:paraId="35818D1C" w14:textId="77777777" w:rsidR="007B1BA8" w:rsidRPr="00DE685B" w:rsidRDefault="007B1BA8" w:rsidP="00DE685B">
      <w:pPr>
        <w:tabs>
          <w:tab w:val="left" w:pos="5783"/>
        </w:tabs>
      </w:pPr>
    </w:p>
    <w:sectPr w:rsidR="007B1BA8" w:rsidRPr="00DE685B" w:rsidSect="000B475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27" w:right="1134" w:bottom="854" w:left="1134" w:header="512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3620B" w14:textId="77777777" w:rsidR="008B07F5" w:rsidRDefault="008B07F5" w:rsidP="007E1AE5">
      <w:pPr>
        <w:spacing w:after="0" w:line="240" w:lineRule="auto"/>
      </w:pPr>
      <w:r>
        <w:separator/>
      </w:r>
    </w:p>
  </w:endnote>
  <w:endnote w:type="continuationSeparator" w:id="0">
    <w:p w14:paraId="4864BE8D" w14:textId="77777777" w:rsidR="008B07F5" w:rsidRDefault="008B07F5" w:rsidP="007E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E65B6" w14:textId="77777777" w:rsidR="006C303E" w:rsidRPr="00207C64" w:rsidRDefault="006C303E" w:rsidP="006C303E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>
      <w:rPr>
        <w:rFonts w:ascii="Georgia" w:hAnsi="Georgia"/>
        <w:color w:val="373534"/>
        <w:sz w:val="18"/>
      </w:rPr>
      <w:t xml:space="preserve"> “Ettore Majorana”</w:t>
    </w:r>
  </w:p>
  <w:p w14:paraId="78E0D885" w14:textId="77777777" w:rsidR="0032692D" w:rsidRPr="006C303E" w:rsidRDefault="006C303E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>
      <w:rPr>
        <w:rFonts w:ascii="Georgia" w:hAnsi="Georgia"/>
        <w:color w:val="373534"/>
        <w:sz w:val="18"/>
      </w:rPr>
      <w:t xml:space="preserve"> S. Sofia</w:t>
    </w:r>
    <w:r w:rsidRPr="00207C64">
      <w:rPr>
        <w:rFonts w:ascii="Georgia" w:hAnsi="Georgia"/>
        <w:color w:val="373534"/>
        <w:sz w:val="18"/>
      </w:rPr>
      <w:t>, 6</w:t>
    </w:r>
    <w:r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>
      <w:rPr>
        <w:rFonts w:ascii="Georgia" w:hAnsi="Georgia"/>
        <w:color w:val="373534"/>
        <w:sz w:val="18"/>
      </w:rPr>
      <w:t xml:space="preserve"> </w:t>
    </w:r>
    <w:r w:rsidRPr="00207C64">
      <w:rPr>
        <w:rFonts w:ascii="Georgia" w:hAnsi="Georgia"/>
        <w:color w:val="373534"/>
        <w:sz w:val="18"/>
      </w:rPr>
      <w:t>– http://www.dfa.unict.it/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891BF" w14:textId="77777777" w:rsidR="004768E4" w:rsidRPr="00207C64" w:rsidRDefault="004768E4" w:rsidP="004768E4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 w:rsidR="006C303E">
      <w:rPr>
        <w:rFonts w:ascii="Georgia" w:hAnsi="Georgia"/>
        <w:color w:val="373534"/>
        <w:sz w:val="18"/>
      </w:rPr>
      <w:t xml:space="preserve"> “Ettore Majorana”</w:t>
    </w:r>
  </w:p>
  <w:p w14:paraId="4A0C0748" w14:textId="77777777" w:rsidR="004A2D06" w:rsidRPr="004768E4" w:rsidRDefault="004768E4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 w:rsidR="009D330C">
      <w:rPr>
        <w:rFonts w:ascii="Georgia" w:hAnsi="Georgia"/>
        <w:color w:val="373534"/>
        <w:sz w:val="18"/>
      </w:rPr>
      <w:t xml:space="preserve"> S</w:t>
    </w:r>
    <w:r>
      <w:rPr>
        <w:rFonts w:ascii="Georgia" w:hAnsi="Georgia"/>
        <w:color w:val="373534"/>
        <w:sz w:val="18"/>
      </w:rPr>
      <w:t xml:space="preserve">. </w:t>
    </w:r>
    <w:r w:rsidR="009D330C">
      <w:rPr>
        <w:rFonts w:ascii="Georgia" w:hAnsi="Georgia"/>
        <w:color w:val="373534"/>
        <w:sz w:val="18"/>
      </w:rPr>
      <w:t>Sof</w:t>
    </w:r>
    <w:r>
      <w:rPr>
        <w:rFonts w:ascii="Georgia" w:hAnsi="Georgia"/>
        <w:color w:val="373534"/>
        <w:sz w:val="18"/>
      </w:rPr>
      <w:t>ia</w:t>
    </w:r>
    <w:r w:rsidRPr="00207C64">
      <w:rPr>
        <w:rFonts w:ascii="Georgia" w:hAnsi="Georgia"/>
        <w:color w:val="373534"/>
        <w:sz w:val="18"/>
      </w:rPr>
      <w:t>, 6</w:t>
    </w:r>
    <w:r w:rsidR="009D330C"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 w:rsidR="009D330C"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 w:rsidR="006C303E">
      <w:rPr>
        <w:rFonts w:ascii="Georgia" w:hAnsi="Georgia"/>
        <w:color w:val="373534"/>
        <w:sz w:val="18"/>
      </w:rPr>
      <w:t xml:space="preserve"> </w:t>
    </w:r>
    <w:r w:rsidR="006C303E" w:rsidRPr="00207C64">
      <w:rPr>
        <w:rFonts w:ascii="Georgia" w:hAnsi="Georgia"/>
        <w:color w:val="373534"/>
        <w:sz w:val="18"/>
      </w:rPr>
      <w:t xml:space="preserve">– </w:t>
    </w:r>
    <w:r w:rsidRPr="00207C64">
      <w:rPr>
        <w:rFonts w:ascii="Georgia" w:hAnsi="Georgia"/>
        <w:color w:val="373534"/>
        <w:sz w:val="18"/>
      </w:rPr>
      <w:t>http://www.dfa.unict.it/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A25B8" w14:textId="77777777" w:rsidR="008B07F5" w:rsidRDefault="008B07F5" w:rsidP="007E1AE5">
      <w:pPr>
        <w:spacing w:after="0" w:line="240" w:lineRule="auto"/>
      </w:pPr>
      <w:r>
        <w:separator/>
      </w:r>
    </w:p>
  </w:footnote>
  <w:footnote w:type="continuationSeparator" w:id="0">
    <w:p w14:paraId="32929AD4" w14:textId="77777777" w:rsidR="008B07F5" w:rsidRDefault="008B07F5" w:rsidP="007E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" w:type="dxa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0B4751" w14:paraId="15FB4802" w14:textId="77777777" w:rsidTr="000B4751">
      <w:trPr>
        <w:trHeight w:val="488"/>
      </w:trPr>
      <w:tc>
        <w:tcPr>
          <w:tcW w:w="5000" w:type="pct"/>
        </w:tcPr>
        <w:p w14:paraId="78478C17" w14:textId="77777777" w:rsidR="000B4751" w:rsidRDefault="000B4751" w:rsidP="000B4751">
          <w:pPr>
            <w:pStyle w:val="Intestazione"/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</w:pP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 xml:space="preserve">Università degli Studi di Catania - </w:t>
          </w:r>
          <w:proofErr w:type="gramStart"/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D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ipartimento  di</w:t>
          </w:r>
          <w:proofErr w:type="gramEnd"/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F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isica  e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A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stronomia “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E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ttore 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M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ajorana”</w:t>
          </w:r>
        </w:p>
        <w:p w14:paraId="6BD643FE" w14:textId="77777777" w:rsidR="000B4751" w:rsidRPr="00C32738" w:rsidRDefault="000B4751" w:rsidP="000B4751">
          <w:pPr>
            <w:pStyle w:val="Intestazione"/>
            <w:spacing w:after="120"/>
            <w:jc w:val="center"/>
            <w:rPr>
              <w:color w:val="373534"/>
            </w:rPr>
          </w:pPr>
          <w:r>
            <w:rPr>
              <w:color w:val="373534"/>
            </w:rPr>
            <w:t>__________________________________________________________</w:t>
          </w:r>
        </w:p>
      </w:tc>
    </w:tr>
  </w:tbl>
  <w:p w14:paraId="64063B62" w14:textId="77777777" w:rsidR="00C21774" w:rsidRPr="0013419D" w:rsidRDefault="00C21774" w:rsidP="004A2D06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99"/>
      <w:gridCol w:w="7039"/>
    </w:tblGrid>
    <w:tr w:rsidR="004A2D06" w:rsidRPr="00C32738" w14:paraId="60CCDBE0" w14:textId="77777777" w:rsidTr="006C303E">
      <w:trPr>
        <w:trHeight w:val="942"/>
      </w:trPr>
      <w:tc>
        <w:tcPr>
          <w:tcW w:w="1348" w:type="pct"/>
          <w:vMerge w:val="restart"/>
        </w:tcPr>
        <w:p w14:paraId="6A304544" w14:textId="77777777" w:rsidR="004A2D06" w:rsidRPr="00C32738" w:rsidRDefault="004A2D06" w:rsidP="00572E48">
          <w:pPr>
            <w:pStyle w:val="Intestazione"/>
            <w:spacing w:after="120"/>
            <w:rPr>
              <w:color w:val="373534"/>
            </w:rPr>
          </w:pPr>
          <w:r w:rsidRPr="00C32738">
            <w:rPr>
              <w:noProof/>
              <w:color w:val="373534"/>
            </w:rPr>
            <w:drawing>
              <wp:inline distT="0" distB="0" distL="0" distR="0" wp14:anchorId="2DF7E6FE" wp14:editId="1A6566A8">
                <wp:extent cx="1504357" cy="647700"/>
                <wp:effectExtent l="0" t="0" r="0" b="0"/>
                <wp:docPr id="1" name="Immagine 1" descr="orizzontale-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zzontale-grigio.png"/>
                        <pic:cNvPicPr/>
                      </pic:nvPicPr>
                      <pic:blipFill>
                        <a:blip r:embed="rId1">
                          <a:biLevel thresh="25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567" cy="659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vAlign w:val="center"/>
        </w:tcPr>
        <w:p w14:paraId="58DE3CBC" w14:textId="77777777" w:rsidR="00525CA2" w:rsidRPr="006C303E" w:rsidRDefault="00464CD6" w:rsidP="006C303E">
          <w:pPr>
            <w:pStyle w:val="Intestazione"/>
            <w:tabs>
              <w:tab w:val="clear" w:pos="4819"/>
            </w:tabs>
            <w:spacing w:before="120" w:line="312" w:lineRule="auto"/>
            <w:ind w:left="1118"/>
            <w:jc w:val="center"/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</w:pPr>
          <w:r w:rsidRPr="006C303E">
            <w:rPr>
              <w:iCs/>
              <w:noProof/>
              <w:sz w:val="31"/>
              <w:szCs w:val="31"/>
            </w:rPr>
            <w:drawing>
              <wp:anchor distT="0" distB="0" distL="114300" distR="114300" simplePos="0" relativeHeight="251658240" behindDoc="1" locked="0" layoutInCell="1" allowOverlap="1" wp14:anchorId="3F200057" wp14:editId="49B9E41E">
                <wp:simplePos x="0" y="0"/>
                <wp:positionH relativeFrom="column">
                  <wp:posOffset>-69010</wp:posOffset>
                </wp:positionH>
                <wp:positionV relativeFrom="paragraph">
                  <wp:posOffset>-25800</wp:posOffset>
                </wp:positionV>
                <wp:extent cx="874741" cy="660400"/>
                <wp:effectExtent l="0" t="0" r="190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new_gra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741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D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ipartimento  di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F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isica  e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A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stronomia</w:t>
          </w:r>
          <w:r w:rsidR="00525CA2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br/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“E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ttore  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M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ajorana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”</w:t>
          </w:r>
        </w:p>
      </w:tc>
    </w:tr>
    <w:tr w:rsidR="004A2D06" w:rsidRPr="00C32738" w14:paraId="41F268A5" w14:textId="77777777" w:rsidTr="006C303E">
      <w:trPr>
        <w:trHeight w:val="520"/>
      </w:trPr>
      <w:tc>
        <w:tcPr>
          <w:tcW w:w="1348" w:type="pct"/>
          <w:vMerge/>
        </w:tcPr>
        <w:p w14:paraId="2E1C0993" w14:textId="77777777" w:rsidR="004A2D06" w:rsidRPr="00C32738" w:rsidRDefault="004A2D06" w:rsidP="00572E48">
          <w:pPr>
            <w:pStyle w:val="Intestazione"/>
            <w:rPr>
              <w:noProof/>
              <w:color w:val="373534"/>
            </w:rPr>
          </w:pPr>
        </w:p>
      </w:tc>
      <w:tc>
        <w:tcPr>
          <w:tcW w:w="3652" w:type="pct"/>
        </w:tcPr>
        <w:p w14:paraId="04A82725" w14:textId="77777777" w:rsidR="004A2D06" w:rsidRPr="00C32738" w:rsidRDefault="004A2D06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</w:p>
      </w:tc>
    </w:tr>
  </w:tbl>
  <w:p w14:paraId="0BA5503F" w14:textId="77777777" w:rsidR="004A2D06" w:rsidRDefault="004A2D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D0"/>
    <w:rsid w:val="0009788A"/>
    <w:rsid w:val="000B45B9"/>
    <w:rsid w:val="000B4751"/>
    <w:rsid w:val="000C5338"/>
    <w:rsid w:val="0013419D"/>
    <w:rsid w:val="00166762"/>
    <w:rsid w:val="00177DD5"/>
    <w:rsid w:val="001909DF"/>
    <w:rsid w:val="001A133D"/>
    <w:rsid w:val="001B0F5E"/>
    <w:rsid w:val="001B1660"/>
    <w:rsid w:val="001E3311"/>
    <w:rsid w:val="00207C64"/>
    <w:rsid w:val="00227601"/>
    <w:rsid w:val="00241589"/>
    <w:rsid w:val="002458C9"/>
    <w:rsid w:val="002515E8"/>
    <w:rsid w:val="00261D9C"/>
    <w:rsid w:val="0026526D"/>
    <w:rsid w:val="00273189"/>
    <w:rsid w:val="00283B04"/>
    <w:rsid w:val="002B04ED"/>
    <w:rsid w:val="002D35A1"/>
    <w:rsid w:val="002E37A0"/>
    <w:rsid w:val="0032692D"/>
    <w:rsid w:val="003423E1"/>
    <w:rsid w:val="00353FEF"/>
    <w:rsid w:val="0036001F"/>
    <w:rsid w:val="00374731"/>
    <w:rsid w:val="00377223"/>
    <w:rsid w:val="003A2D3A"/>
    <w:rsid w:val="003E0643"/>
    <w:rsid w:val="003F5FA0"/>
    <w:rsid w:val="004135E3"/>
    <w:rsid w:val="00464CD6"/>
    <w:rsid w:val="004768E4"/>
    <w:rsid w:val="004778DE"/>
    <w:rsid w:val="004806F0"/>
    <w:rsid w:val="00480DD0"/>
    <w:rsid w:val="0048764B"/>
    <w:rsid w:val="00487C0C"/>
    <w:rsid w:val="004A2D06"/>
    <w:rsid w:val="004C5723"/>
    <w:rsid w:val="004C5A7D"/>
    <w:rsid w:val="004C6CE3"/>
    <w:rsid w:val="004D72BE"/>
    <w:rsid w:val="004F205B"/>
    <w:rsid w:val="00525CA2"/>
    <w:rsid w:val="00526B59"/>
    <w:rsid w:val="0056132D"/>
    <w:rsid w:val="00577BCB"/>
    <w:rsid w:val="00582857"/>
    <w:rsid w:val="005A2765"/>
    <w:rsid w:val="005D4A11"/>
    <w:rsid w:val="005F18A6"/>
    <w:rsid w:val="006029BF"/>
    <w:rsid w:val="006524A8"/>
    <w:rsid w:val="00677A53"/>
    <w:rsid w:val="006B7C23"/>
    <w:rsid w:val="006C303E"/>
    <w:rsid w:val="007213A6"/>
    <w:rsid w:val="007334EF"/>
    <w:rsid w:val="007B1BA8"/>
    <w:rsid w:val="007B319C"/>
    <w:rsid w:val="007D50B6"/>
    <w:rsid w:val="007E1AE5"/>
    <w:rsid w:val="00833A7C"/>
    <w:rsid w:val="0085067D"/>
    <w:rsid w:val="008746F5"/>
    <w:rsid w:val="008B07F5"/>
    <w:rsid w:val="009117FB"/>
    <w:rsid w:val="009B2F04"/>
    <w:rsid w:val="009D330C"/>
    <w:rsid w:val="00A2364E"/>
    <w:rsid w:val="00A25CCF"/>
    <w:rsid w:val="00A53273"/>
    <w:rsid w:val="00A627F7"/>
    <w:rsid w:val="00A9778F"/>
    <w:rsid w:val="00AA4FCD"/>
    <w:rsid w:val="00AB5935"/>
    <w:rsid w:val="00AD79A2"/>
    <w:rsid w:val="00AE0513"/>
    <w:rsid w:val="00AE2AB4"/>
    <w:rsid w:val="00AE5135"/>
    <w:rsid w:val="00B162BA"/>
    <w:rsid w:val="00B22EC9"/>
    <w:rsid w:val="00B57A1D"/>
    <w:rsid w:val="00B751BD"/>
    <w:rsid w:val="00BA3501"/>
    <w:rsid w:val="00BB676D"/>
    <w:rsid w:val="00BC48E0"/>
    <w:rsid w:val="00BC7CEA"/>
    <w:rsid w:val="00C06D7D"/>
    <w:rsid w:val="00C1034D"/>
    <w:rsid w:val="00C21774"/>
    <w:rsid w:val="00C259D8"/>
    <w:rsid w:val="00C32738"/>
    <w:rsid w:val="00C52537"/>
    <w:rsid w:val="00C67F9B"/>
    <w:rsid w:val="00CA4FB4"/>
    <w:rsid w:val="00CD2308"/>
    <w:rsid w:val="00CD2BD0"/>
    <w:rsid w:val="00D158F4"/>
    <w:rsid w:val="00D33DBC"/>
    <w:rsid w:val="00D369C0"/>
    <w:rsid w:val="00D60436"/>
    <w:rsid w:val="00D81E53"/>
    <w:rsid w:val="00D84DAF"/>
    <w:rsid w:val="00DE685B"/>
    <w:rsid w:val="00E13979"/>
    <w:rsid w:val="00E14531"/>
    <w:rsid w:val="00E438A4"/>
    <w:rsid w:val="00E65932"/>
    <w:rsid w:val="00E9762B"/>
    <w:rsid w:val="00EC40E0"/>
    <w:rsid w:val="00ED2DD2"/>
    <w:rsid w:val="00EE2CA1"/>
    <w:rsid w:val="00F45A30"/>
    <w:rsid w:val="00F527E4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B0466"/>
  <w15:docId w15:val="{88B64FE0-2D17-9742-9982-17287FEF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AE5"/>
  </w:style>
  <w:style w:type="paragraph" w:styleId="Pidipagina">
    <w:name w:val="footer"/>
    <w:basedOn w:val="Normale"/>
    <w:link w:val="Pidipagina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A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AE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E1AE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2692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6C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136B30-9C6A-4D61-8D3D-02D046DC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Fisica e Astronomia</vt:lpstr>
    </vt:vector>
  </TitlesOfParts>
  <Company>PH3DRA Lab.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Fisica e Astronomia</dc:title>
  <dc:creator>Nunzio Nicotra</dc:creator>
  <cp:lastModifiedBy>Salvo</cp:lastModifiedBy>
  <cp:revision>2</cp:revision>
  <cp:lastPrinted>2019-03-08T11:42:00Z</cp:lastPrinted>
  <dcterms:created xsi:type="dcterms:W3CDTF">2021-11-12T20:18:00Z</dcterms:created>
  <dcterms:modified xsi:type="dcterms:W3CDTF">2021-11-12T20:18:00Z</dcterms:modified>
</cp:coreProperties>
</file>