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59E3" w14:textId="77777777" w:rsidR="00D81E53" w:rsidRPr="002A74B8" w:rsidRDefault="00D81E53" w:rsidP="00D81E53">
      <w:pPr>
        <w:jc w:val="center"/>
        <w:rPr>
          <w:b/>
          <w:bCs/>
        </w:rPr>
      </w:pPr>
      <w:r w:rsidRPr="002A74B8">
        <w:rPr>
          <w:b/>
          <w:bCs/>
        </w:rPr>
        <w:t>Verbale della riunione della Commissione Ricerca del DFA</w:t>
      </w:r>
    </w:p>
    <w:p w14:paraId="16673CDB" w14:textId="2061712A" w:rsidR="00D81E53" w:rsidRDefault="00D81E53" w:rsidP="00D81E53">
      <w:pPr>
        <w:jc w:val="center"/>
      </w:pPr>
      <w:r w:rsidRPr="002A74B8">
        <w:rPr>
          <w:b/>
          <w:bCs/>
        </w:rPr>
        <w:t xml:space="preserve">Riunione </w:t>
      </w:r>
      <w:r w:rsidR="003F5FA0">
        <w:rPr>
          <w:b/>
          <w:bCs/>
        </w:rPr>
        <w:t xml:space="preserve">04/2021 </w:t>
      </w:r>
      <w:r w:rsidRPr="002A74B8">
        <w:rPr>
          <w:b/>
          <w:bCs/>
        </w:rPr>
        <w:t>del 14 Maggio 2021</w:t>
      </w:r>
    </w:p>
    <w:p w14:paraId="11964CD7" w14:textId="77777777" w:rsidR="00D81E53" w:rsidRDefault="00D81E53" w:rsidP="00D81E53"/>
    <w:p w14:paraId="21FDA811" w14:textId="553F2309" w:rsidR="00D81E53" w:rsidRDefault="00D81E53" w:rsidP="00D81E53">
      <w:r>
        <w:t xml:space="preserve">Il giorno 14 Maggio 2021 alle ore 15:30 si riuniscono, telematicamente sul canale TEAMS dedicato, i membri della Commissione Ricerca del DFA “E. Majorana” dell’UniCT. Intervengono alla riunione i proff. S. Mirabella (Presidente), R. Barbera, L. Lamia, L. </w:t>
      </w:r>
      <w:proofErr w:type="spellStart"/>
      <w:r>
        <w:t>Lanzanò</w:t>
      </w:r>
      <w:proofErr w:type="spellEnd"/>
      <w:r>
        <w:t xml:space="preserve"> e S. Plumari per discutere i seguenti punti all’ODG:</w:t>
      </w:r>
    </w:p>
    <w:p w14:paraId="1B254D6C" w14:textId="77777777" w:rsidR="00D81E53" w:rsidRDefault="00D81E53" w:rsidP="00D81E53"/>
    <w:p w14:paraId="0117F963" w14:textId="77777777" w:rsidR="00D81E53" w:rsidRPr="00C70105" w:rsidRDefault="00D81E53" w:rsidP="00D81E53">
      <w:pPr>
        <w:rPr>
          <w:b/>
          <w:bCs/>
        </w:rPr>
      </w:pPr>
      <w:r>
        <w:t xml:space="preserve">1) </w:t>
      </w:r>
      <w:r w:rsidRPr="00C70105">
        <w:rPr>
          <w:b/>
          <w:bCs/>
        </w:rPr>
        <w:t>Comunicazioni</w:t>
      </w:r>
    </w:p>
    <w:p w14:paraId="0FC6F394" w14:textId="77777777" w:rsidR="00D81E53" w:rsidRDefault="00D81E53" w:rsidP="00D81E53">
      <w:r>
        <w:t>Per le comunicazioni varie, il presidente informa che le attività di conferimento prodotti per la VQR 2015-2019 sono state portate a termine.</w:t>
      </w:r>
    </w:p>
    <w:p w14:paraId="5E7B3979" w14:textId="77777777" w:rsidR="00D81E53" w:rsidRDefault="00D81E53" w:rsidP="00D81E53"/>
    <w:p w14:paraId="3858D1F4" w14:textId="77777777" w:rsidR="00D81E53" w:rsidRPr="00C70105" w:rsidRDefault="00D81E53" w:rsidP="00D81E53">
      <w:pPr>
        <w:rPr>
          <w:b/>
          <w:bCs/>
        </w:rPr>
      </w:pPr>
      <w:r>
        <w:t xml:space="preserve">2) </w:t>
      </w:r>
      <w:r w:rsidRPr="00C70105">
        <w:rPr>
          <w:b/>
          <w:bCs/>
        </w:rPr>
        <w:t xml:space="preserve">Stato avanzamento </w:t>
      </w:r>
      <w:proofErr w:type="spellStart"/>
      <w:r w:rsidRPr="00C70105">
        <w:rPr>
          <w:b/>
          <w:bCs/>
        </w:rPr>
        <w:t>Singletron</w:t>
      </w:r>
      <w:proofErr w:type="spellEnd"/>
    </w:p>
    <w:p w14:paraId="3E717C5D" w14:textId="62531366" w:rsidR="00D81E53" w:rsidRDefault="00D81E53" w:rsidP="00D81E53">
      <w:r>
        <w:t>E’ in atto un continuo scambio di idee con i diversi gruppi di ricerca (nonché con centri di ricerca quali INFN, INAF, CNR-</w:t>
      </w:r>
      <w:proofErr w:type="gramStart"/>
      <w:r>
        <w:t>IMM..</w:t>
      </w:r>
      <w:proofErr w:type="gramEnd"/>
      <w:r>
        <w:t xml:space="preserve">) che già dallo scorso 2020 hanno manifestato interesse verso l’acceleratore </w:t>
      </w:r>
      <w:proofErr w:type="spellStart"/>
      <w:r>
        <w:t>Singletron</w:t>
      </w:r>
      <w:proofErr w:type="spellEnd"/>
      <w:r>
        <w:t xml:space="preserve"> in dotazione al DFA per future attività di ricerca.</w:t>
      </w:r>
      <w:r w:rsidR="00C1034D">
        <w:t xml:space="preserve"> </w:t>
      </w:r>
      <w:r>
        <w:t xml:space="preserve">Si auspica che presto si possa trovare una sintesi finale per poter realizzare una nuova linea di fascio adatta ai diversi scopi. </w:t>
      </w:r>
    </w:p>
    <w:p w14:paraId="44473358" w14:textId="77777777" w:rsidR="00D81E53" w:rsidRDefault="00D81E53" w:rsidP="00D81E53"/>
    <w:p w14:paraId="22BCD5ED" w14:textId="77777777" w:rsidR="00D81E53" w:rsidRDefault="00D81E53" w:rsidP="00D81E53">
      <w:pPr>
        <w:rPr>
          <w:b/>
          <w:bCs/>
        </w:rPr>
      </w:pPr>
      <w:r>
        <w:t xml:space="preserve">3) </w:t>
      </w:r>
      <w:r w:rsidRPr="00392B13">
        <w:rPr>
          <w:b/>
          <w:bCs/>
        </w:rPr>
        <w:t>DFA website sezione Ricerca</w:t>
      </w:r>
    </w:p>
    <w:p w14:paraId="4167AC48" w14:textId="77777777" w:rsidR="00D81E53" w:rsidRDefault="00D81E53" w:rsidP="00D81E53">
      <w:r>
        <w:t xml:space="preserve">In merito alla sezione “Ricerca” del sito web del DFA, la commissione tutta concorda per una revisione delle diverse attività di ricerca presentate a partire dai diversi contenuti e dai diversi raggruppamenti. </w:t>
      </w:r>
    </w:p>
    <w:p w14:paraId="41490F10" w14:textId="77777777" w:rsidR="00D81E53" w:rsidRDefault="00D81E53" w:rsidP="00D81E53"/>
    <w:p w14:paraId="2AD3A88A" w14:textId="77777777" w:rsidR="00D81E53" w:rsidRDefault="00D81E53" w:rsidP="00D81E53">
      <w:pPr>
        <w:rPr>
          <w:b/>
          <w:bCs/>
        </w:rPr>
      </w:pPr>
      <w:r>
        <w:t xml:space="preserve">4) </w:t>
      </w:r>
      <w:r w:rsidRPr="00392B13">
        <w:rPr>
          <w:b/>
          <w:bCs/>
        </w:rPr>
        <w:t>Promozione sottomissione progetti di ricerca esterni</w:t>
      </w:r>
    </w:p>
    <w:p w14:paraId="09C76F69" w14:textId="281C2CE3" w:rsidR="00D81E53" w:rsidRDefault="00D81E53" w:rsidP="00D81E53">
      <w:r>
        <w:t>Vista la crescente necessità di azioni mirate al reperimento fondi, si discutono eventuali modalità per incrementare la partecipazione dei docenti DFA a programmi regionali, nazionali o europei. Su questo tema, la commissione ricerca cercherà di avviare azioni mirate (“</w:t>
      </w:r>
      <w:proofErr w:type="spellStart"/>
      <w:r>
        <w:t>scouting</w:t>
      </w:r>
      <w:proofErr w:type="spellEnd"/>
      <w:r>
        <w:t>”) che passino, ad esempio, attraverso la definizione di una griglia di competenze per il personale del DFA.  Tali azioni appaiono di primaria importanza soprattutto per i giovani docenti.</w:t>
      </w:r>
    </w:p>
    <w:p w14:paraId="6648E57D" w14:textId="77777777" w:rsidR="00D81E53" w:rsidRPr="00203A6E" w:rsidRDefault="00D81E53" w:rsidP="00D81E53">
      <w:pPr>
        <w:rPr>
          <w:b/>
          <w:bCs/>
        </w:rPr>
      </w:pPr>
      <w:r>
        <w:t xml:space="preserve">5) </w:t>
      </w:r>
      <w:r w:rsidRPr="00203A6E">
        <w:rPr>
          <w:b/>
          <w:bCs/>
        </w:rPr>
        <w:t>Progetti di Ateneo (e.g. Piaceri)</w:t>
      </w:r>
    </w:p>
    <w:p w14:paraId="1598C73A" w14:textId="77777777" w:rsidR="00D81E53" w:rsidRDefault="00D81E53" w:rsidP="00D81E53">
      <w:r>
        <w:t xml:space="preserve">Il presidente conferma che l’erogazione della seconda tranche dei fondi PIA.CE.RI. ha subito uno </w:t>
      </w:r>
      <w:proofErr w:type="spellStart"/>
      <w:r>
        <w:t>shift</w:t>
      </w:r>
      <w:proofErr w:type="spellEnd"/>
      <w:r>
        <w:t xml:space="preserve"> previsto per il periodo Ottobre-Novembre 2021</w:t>
      </w:r>
    </w:p>
    <w:p w14:paraId="211FB53E" w14:textId="77777777" w:rsidR="00D81E53" w:rsidRDefault="00D81E53" w:rsidP="00D81E53"/>
    <w:p w14:paraId="5878D5B4" w14:textId="77777777" w:rsidR="00D81E53" w:rsidRPr="00203A6E" w:rsidRDefault="00D81E53" w:rsidP="00D81E53">
      <w:pPr>
        <w:rPr>
          <w:b/>
          <w:bCs/>
        </w:rPr>
      </w:pPr>
      <w:r>
        <w:lastRenderedPageBreak/>
        <w:t xml:space="preserve">6) </w:t>
      </w:r>
      <w:proofErr w:type="spellStart"/>
      <w:r w:rsidRPr="00203A6E">
        <w:rPr>
          <w:b/>
          <w:bCs/>
        </w:rPr>
        <w:t>Flagship</w:t>
      </w:r>
      <w:proofErr w:type="spellEnd"/>
      <w:r w:rsidRPr="00203A6E">
        <w:rPr>
          <w:b/>
          <w:bCs/>
        </w:rPr>
        <w:t xml:space="preserve"> UniCT</w:t>
      </w:r>
    </w:p>
    <w:p w14:paraId="2EAB2D7D" w14:textId="77777777" w:rsidR="00D81E53" w:rsidRDefault="00D81E53" w:rsidP="00D81E53">
      <w:r>
        <w:t>In merito a quest’ultimo punto, il presidente non ha comunicazioni da dare.</w:t>
      </w:r>
    </w:p>
    <w:p w14:paraId="3A13E40A" w14:textId="77777777" w:rsidR="00D81E53" w:rsidRDefault="00D81E53" w:rsidP="00D81E53"/>
    <w:p w14:paraId="28202695" w14:textId="77777777" w:rsidR="00D81E53" w:rsidRDefault="00D81E53" w:rsidP="00D81E53">
      <w:r>
        <w:t>Alle ore 17:00 la riunione viene dichiarata chiusa.</w:t>
      </w:r>
    </w:p>
    <w:p w14:paraId="7474D886" w14:textId="77777777" w:rsidR="00D81E53" w:rsidRDefault="00D81E53" w:rsidP="00D81E53"/>
    <w:p w14:paraId="41A387F0" w14:textId="77777777" w:rsidR="00D81E53" w:rsidRDefault="00D81E53" w:rsidP="00D81E53"/>
    <w:p w14:paraId="39A2D462" w14:textId="28E67367" w:rsidR="00D81E53" w:rsidRDefault="00D81E53" w:rsidP="00D81E53">
      <w:bookmarkStart w:id="0" w:name="_GoBack"/>
      <w:bookmarkEnd w:id="0"/>
      <w:r>
        <w:t xml:space="preserve">Firma del segretario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14:paraId="36BA9768" w14:textId="5D0BCDE3" w:rsidR="00D81E53" w:rsidRDefault="00D81E53" w:rsidP="00D81E53"/>
    <w:p w14:paraId="0B2A5DF3" w14:textId="053C0B5E" w:rsidR="00DE685B" w:rsidRDefault="00DE685B" w:rsidP="006C303E">
      <w:pPr>
        <w:jc w:val="both"/>
        <w:rPr>
          <w:iCs/>
        </w:rPr>
      </w:pPr>
    </w:p>
    <w:p w14:paraId="2F91D736" w14:textId="502CF4C4" w:rsidR="00C1034D" w:rsidRDefault="00C1034D" w:rsidP="006C303E">
      <w:pPr>
        <w:jc w:val="both"/>
        <w:rPr>
          <w:iCs/>
        </w:rPr>
      </w:pPr>
    </w:p>
    <w:p w14:paraId="77DA22EB" w14:textId="6A349429" w:rsidR="00C1034D" w:rsidRPr="006C303E" w:rsidRDefault="00C1034D" w:rsidP="006C303E">
      <w:pPr>
        <w:jc w:val="both"/>
        <w:rPr>
          <w:iCs/>
        </w:rPr>
      </w:pPr>
    </w:p>
    <w:p w14:paraId="7362EF41" w14:textId="5BF2CB77" w:rsidR="006C303E" w:rsidRDefault="006C303E"/>
    <w:p w14:paraId="35818D1C" w14:textId="77777777" w:rsidR="007B1BA8" w:rsidRPr="00DE685B" w:rsidRDefault="007B1BA8" w:rsidP="00DE685B">
      <w:pPr>
        <w:tabs>
          <w:tab w:val="left" w:pos="5783"/>
        </w:tabs>
      </w:pPr>
    </w:p>
    <w:sectPr w:rsidR="007B1BA8" w:rsidRPr="00DE685B" w:rsidSect="000B475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1978" w14:textId="77777777" w:rsidR="0087202C" w:rsidRDefault="0087202C" w:rsidP="007E1AE5">
      <w:pPr>
        <w:spacing w:after="0" w:line="240" w:lineRule="auto"/>
      </w:pPr>
      <w:r>
        <w:separator/>
      </w:r>
    </w:p>
  </w:endnote>
  <w:endnote w:type="continuationSeparator" w:id="0">
    <w:p w14:paraId="3BD9D99F" w14:textId="77777777" w:rsidR="0087202C" w:rsidRDefault="0087202C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E65B6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8E0D8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891BF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4A0C0748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CB6F7" w14:textId="77777777" w:rsidR="0087202C" w:rsidRDefault="0087202C" w:rsidP="007E1AE5">
      <w:pPr>
        <w:spacing w:after="0" w:line="240" w:lineRule="auto"/>
      </w:pPr>
      <w:r>
        <w:separator/>
      </w:r>
    </w:p>
  </w:footnote>
  <w:footnote w:type="continuationSeparator" w:id="0">
    <w:p w14:paraId="0A3FCC0B" w14:textId="77777777" w:rsidR="0087202C" w:rsidRDefault="0087202C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15FB4802" w14:textId="77777777" w:rsidTr="000B4751">
      <w:trPr>
        <w:trHeight w:val="488"/>
      </w:trPr>
      <w:tc>
        <w:tcPr>
          <w:tcW w:w="5000" w:type="pct"/>
        </w:tcPr>
        <w:p w14:paraId="78478C17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6BD643FE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4063B62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60CCDBE0" w14:textId="77777777" w:rsidTr="006C303E">
      <w:trPr>
        <w:trHeight w:val="942"/>
      </w:trPr>
      <w:tc>
        <w:tcPr>
          <w:tcW w:w="1348" w:type="pct"/>
          <w:vMerge w:val="restart"/>
        </w:tcPr>
        <w:p w14:paraId="6A304544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2DF7E6FE" wp14:editId="1A6566A8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58DE3CBC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F200057" wp14:editId="49B9E41E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ipartimento  di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41F268A5" w14:textId="77777777" w:rsidTr="006C303E">
      <w:trPr>
        <w:trHeight w:val="520"/>
      </w:trPr>
      <w:tc>
        <w:tcPr>
          <w:tcW w:w="1348" w:type="pct"/>
          <w:vMerge/>
        </w:tcPr>
        <w:p w14:paraId="2E1C0993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4A82725" w14:textId="77777777" w:rsidR="004A2D06" w:rsidRPr="00C32738" w:rsidRDefault="004A2D06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</w:p>
      </w:tc>
    </w:tr>
  </w:tbl>
  <w:p w14:paraId="0BA5503F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D0"/>
    <w:rsid w:val="00083B75"/>
    <w:rsid w:val="0009788A"/>
    <w:rsid w:val="000B45B9"/>
    <w:rsid w:val="000B4751"/>
    <w:rsid w:val="000C5338"/>
    <w:rsid w:val="0013419D"/>
    <w:rsid w:val="00166762"/>
    <w:rsid w:val="00177DD5"/>
    <w:rsid w:val="001909DF"/>
    <w:rsid w:val="001A133D"/>
    <w:rsid w:val="001B0F5E"/>
    <w:rsid w:val="001B1660"/>
    <w:rsid w:val="001E3311"/>
    <w:rsid w:val="00207C64"/>
    <w:rsid w:val="00227601"/>
    <w:rsid w:val="00241589"/>
    <w:rsid w:val="00273189"/>
    <w:rsid w:val="00283B04"/>
    <w:rsid w:val="002B04ED"/>
    <w:rsid w:val="002D35A1"/>
    <w:rsid w:val="002E37A0"/>
    <w:rsid w:val="0032692D"/>
    <w:rsid w:val="003423E1"/>
    <w:rsid w:val="00353FEF"/>
    <w:rsid w:val="0036001F"/>
    <w:rsid w:val="00374731"/>
    <w:rsid w:val="003A2D3A"/>
    <w:rsid w:val="003E0643"/>
    <w:rsid w:val="003F5FA0"/>
    <w:rsid w:val="004135E3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6132D"/>
    <w:rsid w:val="00577BCB"/>
    <w:rsid w:val="005A2765"/>
    <w:rsid w:val="005D4A11"/>
    <w:rsid w:val="005F18A6"/>
    <w:rsid w:val="006029BF"/>
    <w:rsid w:val="006524A8"/>
    <w:rsid w:val="00677A53"/>
    <w:rsid w:val="006C303E"/>
    <w:rsid w:val="007213A6"/>
    <w:rsid w:val="007334EF"/>
    <w:rsid w:val="007B1BA8"/>
    <w:rsid w:val="007B319C"/>
    <w:rsid w:val="007D50B6"/>
    <w:rsid w:val="007E1AE5"/>
    <w:rsid w:val="00833A7C"/>
    <w:rsid w:val="0085067D"/>
    <w:rsid w:val="0087202C"/>
    <w:rsid w:val="008746F5"/>
    <w:rsid w:val="009117FB"/>
    <w:rsid w:val="009B2F04"/>
    <w:rsid w:val="009D330C"/>
    <w:rsid w:val="00A25CCF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57A1D"/>
    <w:rsid w:val="00B751BD"/>
    <w:rsid w:val="00BA3501"/>
    <w:rsid w:val="00BC48E0"/>
    <w:rsid w:val="00BC7CEA"/>
    <w:rsid w:val="00C1034D"/>
    <w:rsid w:val="00C21774"/>
    <w:rsid w:val="00C32738"/>
    <w:rsid w:val="00C67F9B"/>
    <w:rsid w:val="00CA4FB4"/>
    <w:rsid w:val="00CD2308"/>
    <w:rsid w:val="00CD2BD0"/>
    <w:rsid w:val="00D33DBC"/>
    <w:rsid w:val="00D369C0"/>
    <w:rsid w:val="00D60436"/>
    <w:rsid w:val="00D81E53"/>
    <w:rsid w:val="00DE685B"/>
    <w:rsid w:val="00E14531"/>
    <w:rsid w:val="00E438A4"/>
    <w:rsid w:val="00E65932"/>
    <w:rsid w:val="00E9762B"/>
    <w:rsid w:val="00F45A30"/>
    <w:rsid w:val="00F527E4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0466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6C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7B5ED6-2A4D-4BB1-8EA3-79919895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Salvo</cp:lastModifiedBy>
  <cp:revision>5</cp:revision>
  <cp:lastPrinted>2019-03-08T11:42:00Z</cp:lastPrinted>
  <dcterms:created xsi:type="dcterms:W3CDTF">2021-05-21T09:37:00Z</dcterms:created>
  <dcterms:modified xsi:type="dcterms:W3CDTF">2021-05-22T15:14:00Z</dcterms:modified>
</cp:coreProperties>
</file>