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AA9987" w14:textId="6B5C8399" w:rsidR="00DE685B" w:rsidRDefault="00DE685B" w:rsidP="006C303E">
      <w:pPr>
        <w:jc w:val="both"/>
        <w:rPr>
          <w:iCs/>
        </w:rPr>
      </w:pPr>
    </w:p>
    <w:p w14:paraId="552F77D7" w14:textId="37B34376" w:rsidR="00844BA4" w:rsidRDefault="00844BA4" w:rsidP="00844BA4">
      <w:pPr>
        <w:jc w:val="center"/>
        <w:rPr>
          <w:b/>
          <w:bCs/>
        </w:rPr>
      </w:pPr>
      <w:r w:rsidRPr="002A74B8">
        <w:rPr>
          <w:b/>
          <w:bCs/>
        </w:rPr>
        <w:t>Verbale della riunione della Commissione Ricerca del DFA</w:t>
      </w:r>
    </w:p>
    <w:p w14:paraId="3E04F932" w14:textId="25A1B2E0" w:rsidR="00844BA4" w:rsidRDefault="00844BA4" w:rsidP="00844BA4">
      <w:pPr>
        <w:jc w:val="center"/>
      </w:pPr>
      <w:r w:rsidRPr="002A74B8">
        <w:rPr>
          <w:b/>
          <w:bCs/>
        </w:rPr>
        <w:t>Riunione</w:t>
      </w:r>
      <w:r w:rsidR="00805B7C">
        <w:rPr>
          <w:b/>
          <w:bCs/>
        </w:rPr>
        <w:t xml:space="preserve"> 02/2021</w:t>
      </w:r>
      <w:r w:rsidRPr="002A74B8">
        <w:rPr>
          <w:b/>
          <w:bCs/>
        </w:rPr>
        <w:t xml:space="preserve"> del </w:t>
      </w:r>
      <w:r>
        <w:rPr>
          <w:b/>
          <w:bCs/>
        </w:rPr>
        <w:t>15</w:t>
      </w:r>
      <w:r w:rsidRPr="002A74B8">
        <w:rPr>
          <w:b/>
          <w:bCs/>
        </w:rPr>
        <w:t xml:space="preserve"> </w:t>
      </w:r>
      <w:r>
        <w:rPr>
          <w:b/>
          <w:bCs/>
        </w:rPr>
        <w:t xml:space="preserve">Febbraio </w:t>
      </w:r>
      <w:r w:rsidRPr="002A74B8">
        <w:rPr>
          <w:b/>
          <w:bCs/>
        </w:rPr>
        <w:t>2021</w:t>
      </w:r>
    </w:p>
    <w:p w14:paraId="07CE017F" w14:textId="77777777" w:rsidR="00844BA4" w:rsidRDefault="00844BA4" w:rsidP="00844BA4"/>
    <w:p w14:paraId="71B1133F" w14:textId="54A19395" w:rsidR="00574E29" w:rsidRPr="00E63EB6" w:rsidRDefault="00844BA4" w:rsidP="00574E29">
      <w:r>
        <w:t xml:space="preserve">Il giorno 15 Febbraio 2021 alle ore 15:00 si riuniscono, telematicamente sul canale TEAMS dedicato, i membri della Commissione Ricerca del DFA “E. Majorana” dell’UniCT. Intervengono alla riunione i proff. S. Mirabella (Presidente), R. Barbera, L. Lamia, L. </w:t>
      </w:r>
      <w:proofErr w:type="spellStart"/>
      <w:r>
        <w:t>Lanzanò</w:t>
      </w:r>
      <w:proofErr w:type="spellEnd"/>
      <w:r>
        <w:t xml:space="preserve"> e S. </w:t>
      </w:r>
      <w:r w:rsidRPr="00E63EB6">
        <w:t>Plumari</w:t>
      </w:r>
      <w:r w:rsidR="00574E29" w:rsidRPr="00E63EB6">
        <w:t xml:space="preserve"> per discutere dei seguenti punti all’</w:t>
      </w:r>
      <w:proofErr w:type="spellStart"/>
      <w:r w:rsidR="00574E29" w:rsidRPr="00E63EB6">
        <w:t>OdG</w:t>
      </w:r>
      <w:proofErr w:type="spellEnd"/>
      <w:r w:rsidR="00574E29" w:rsidRPr="00E63EB6">
        <w:t>:</w:t>
      </w:r>
    </w:p>
    <w:p w14:paraId="313C3F84" w14:textId="77777777" w:rsidR="00574E29" w:rsidRPr="00E63EB6" w:rsidRDefault="00574E29" w:rsidP="00574E29">
      <w:pPr>
        <w:pStyle w:val="Paragrafoelenco"/>
        <w:numPr>
          <w:ilvl w:val="0"/>
          <w:numId w:val="1"/>
        </w:numPr>
        <w:rPr>
          <w:rFonts w:cstheme="minorHAnsi"/>
          <w:b/>
          <w:sz w:val="22"/>
          <w:szCs w:val="22"/>
        </w:rPr>
      </w:pPr>
      <w:r w:rsidRPr="00E63EB6">
        <w:rPr>
          <w:rFonts w:eastAsia="Times New Roman" w:cstheme="minorHAnsi"/>
          <w:b/>
          <w:sz w:val="22"/>
          <w:szCs w:val="22"/>
          <w:lang w:eastAsia="it-IT"/>
        </w:rPr>
        <w:t>resoconto ultima riunione CR ateneo</w:t>
      </w:r>
    </w:p>
    <w:p w14:paraId="6F5D6685" w14:textId="77777777" w:rsidR="00574E29" w:rsidRPr="00E63EB6" w:rsidRDefault="00574E29" w:rsidP="00574E29">
      <w:pPr>
        <w:pStyle w:val="Paragrafoelenco"/>
        <w:numPr>
          <w:ilvl w:val="0"/>
          <w:numId w:val="1"/>
        </w:numPr>
        <w:rPr>
          <w:rFonts w:cstheme="minorHAnsi"/>
          <w:b/>
          <w:sz w:val="22"/>
          <w:szCs w:val="22"/>
        </w:rPr>
      </w:pPr>
      <w:r w:rsidRPr="00E63EB6">
        <w:rPr>
          <w:rFonts w:eastAsia="Times New Roman" w:cstheme="minorHAnsi"/>
          <w:b/>
          <w:sz w:val="22"/>
          <w:szCs w:val="22"/>
          <w:lang w:eastAsia="it-IT"/>
        </w:rPr>
        <w:t>strategia per rifinire il paniere di prodotti da conferire in VQR</w:t>
      </w:r>
    </w:p>
    <w:p w14:paraId="1840D370" w14:textId="6D32E5AA" w:rsidR="00844BA4" w:rsidRDefault="00844BA4" w:rsidP="00844BA4"/>
    <w:p w14:paraId="09FC38BF" w14:textId="77777777" w:rsidR="00844BA4" w:rsidRDefault="00844BA4" w:rsidP="00844BA4">
      <w:r>
        <w:t xml:space="preserve">Il presidente informa che, in merito alla VQR 2015-2019, è ormai imminente la pubblicazione degli indicatori da parte del GEV2. Il presidente riporta in commissione le ultime indicazioni date dalla Commissione Ricerca di Ateneo (presidente prof. S. Baglio) con particolare riferimento alla necessità di trovare i prodotti migliori e di utilizzare nel migliore dei modi l’applicativo </w:t>
      </w:r>
      <w:proofErr w:type="spellStart"/>
      <w:r>
        <w:t>Prebee</w:t>
      </w:r>
      <w:proofErr w:type="spellEnd"/>
      <w:r>
        <w:t xml:space="preserve">. A tal fine quindi la commissione DFA concorda che sia necessario ancora una volta rivedere il paniere dei prodotti </w:t>
      </w:r>
      <w:proofErr w:type="spellStart"/>
      <w:r>
        <w:t>preconferiti</w:t>
      </w:r>
      <w:proofErr w:type="spellEnd"/>
      <w:r>
        <w:t xml:space="preserve"> e, ove possibile, sostituirli con prodotti che siano classificabili come “A”.  Vengono quindi presi in rassegna i prodotti fino ad oggi conferiti dai colleghi del DFA e vengono selezionate le dovute criticità (conflitti, scheda prodotto incompleta, </w:t>
      </w:r>
      <w:proofErr w:type="spellStart"/>
      <w:r>
        <w:t>etc</w:t>
      </w:r>
      <w:proofErr w:type="spellEnd"/>
      <w:r>
        <w:t>…). Al fine quindi di avere delle azioni quanto più mirate possibili, ad ogni membro della commissione viene affidato un certo numero di docenti in modo tale da poterne seguire puntualmente le operazioni di conferimento nei prossimi mesi.</w:t>
      </w:r>
    </w:p>
    <w:p w14:paraId="2C19AEAF" w14:textId="77777777" w:rsidR="00844BA4" w:rsidRDefault="00844BA4" w:rsidP="00844BA4">
      <w:r>
        <w:t>I lavori di commissione saranno quindi dovutamente comunicati nel prossimo consiglio di dipartimento.</w:t>
      </w:r>
    </w:p>
    <w:p w14:paraId="704F4B5C" w14:textId="77777777" w:rsidR="00844BA4" w:rsidRDefault="00844BA4" w:rsidP="00844BA4"/>
    <w:p w14:paraId="2D0AF5D2" w14:textId="77777777" w:rsidR="00844BA4" w:rsidRDefault="00844BA4" w:rsidP="00844BA4">
      <w:r>
        <w:t>Alle ore 18:00 la riunione viene dichiarata chiusa.</w:t>
      </w:r>
    </w:p>
    <w:p w14:paraId="49329FF1" w14:textId="55A79976" w:rsidR="00844BA4" w:rsidRDefault="00844BA4" w:rsidP="00844BA4"/>
    <w:p w14:paraId="19B73802" w14:textId="77777777" w:rsidR="00574E29" w:rsidRDefault="00574E29" w:rsidP="00844BA4"/>
    <w:p w14:paraId="362EC3D5" w14:textId="7944785B" w:rsidR="00844BA4" w:rsidRDefault="00844BA4" w:rsidP="00844BA4">
      <w:bookmarkStart w:id="0" w:name="_GoBack"/>
      <w:bookmarkEnd w:id="0"/>
      <w:r>
        <w:t xml:space="preserve">Firma del segretario </w:t>
      </w:r>
      <w:r>
        <w:tab/>
      </w:r>
      <w:r>
        <w:tab/>
      </w:r>
      <w:r>
        <w:tab/>
      </w:r>
      <w:r>
        <w:tab/>
      </w:r>
      <w:r>
        <w:tab/>
      </w:r>
      <w:r>
        <w:tab/>
      </w:r>
      <w:r>
        <w:tab/>
      </w:r>
      <w:r>
        <w:tab/>
        <w:t>Firma del Presidente</w:t>
      </w:r>
    </w:p>
    <w:p w14:paraId="3B1B8FB5" w14:textId="4B46E177" w:rsidR="00844BA4" w:rsidRDefault="00844BA4" w:rsidP="00844BA4"/>
    <w:p w14:paraId="57316696" w14:textId="637C0EB6" w:rsidR="00844BA4" w:rsidRDefault="00844BA4" w:rsidP="006C303E">
      <w:pPr>
        <w:jc w:val="both"/>
        <w:rPr>
          <w:iCs/>
        </w:rPr>
      </w:pPr>
    </w:p>
    <w:p w14:paraId="529EFF33" w14:textId="24FB64E9" w:rsidR="00F4690E" w:rsidRPr="006C303E" w:rsidRDefault="00F4690E" w:rsidP="006C303E">
      <w:pPr>
        <w:jc w:val="both"/>
        <w:rPr>
          <w:iCs/>
        </w:rPr>
      </w:pPr>
    </w:p>
    <w:p w14:paraId="2ED02342" w14:textId="09CB09C4" w:rsidR="007B1BA8" w:rsidRPr="00DE685B" w:rsidRDefault="007B1BA8" w:rsidP="00844BA4"/>
    <w:sectPr w:rsidR="007B1BA8" w:rsidRPr="00DE685B" w:rsidSect="000B4751">
      <w:headerReference w:type="default" r:id="rId8"/>
      <w:footerReference w:type="default" r:id="rId9"/>
      <w:headerReference w:type="first" r:id="rId10"/>
      <w:footerReference w:type="first" r:id="rId11"/>
      <w:pgSz w:w="11906" w:h="16838"/>
      <w:pgMar w:top="1127" w:right="1134" w:bottom="854" w:left="1134" w:header="512" w:footer="3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AE633B" w14:textId="77777777" w:rsidR="00687F35" w:rsidRDefault="00687F35" w:rsidP="007E1AE5">
      <w:pPr>
        <w:spacing w:after="0" w:line="240" w:lineRule="auto"/>
      </w:pPr>
      <w:r>
        <w:separator/>
      </w:r>
    </w:p>
  </w:endnote>
  <w:endnote w:type="continuationSeparator" w:id="0">
    <w:p w14:paraId="1E6F2986" w14:textId="77777777" w:rsidR="00687F35" w:rsidRDefault="00687F35" w:rsidP="007E1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A50BFB" w14:textId="77777777" w:rsidR="006C303E" w:rsidRPr="00207C64" w:rsidRDefault="006C303E" w:rsidP="006C303E">
    <w:pPr>
      <w:pStyle w:val="Pidipagina"/>
      <w:pBdr>
        <w:top w:val="single" w:sz="4" w:space="1" w:color="373534"/>
      </w:pBdr>
      <w:jc w:val="center"/>
      <w:rPr>
        <w:rFonts w:ascii="Georgia" w:hAnsi="Georgia"/>
        <w:color w:val="373534"/>
        <w:sz w:val="18"/>
      </w:rPr>
    </w:pPr>
    <w:r w:rsidRPr="00207C64">
      <w:rPr>
        <w:rFonts w:ascii="Georgia" w:hAnsi="Georgia"/>
        <w:color w:val="373534"/>
        <w:sz w:val="18"/>
      </w:rPr>
      <w:t>Dipartimento di Fisica e Astronomia</w:t>
    </w:r>
    <w:r>
      <w:rPr>
        <w:rFonts w:ascii="Georgia" w:hAnsi="Georgia"/>
        <w:color w:val="373534"/>
        <w:sz w:val="18"/>
      </w:rPr>
      <w:t xml:space="preserve"> “Ettore Majorana”</w:t>
    </w:r>
  </w:p>
  <w:p w14:paraId="41C98F33" w14:textId="77777777" w:rsidR="0032692D" w:rsidRPr="006C303E" w:rsidRDefault="006C303E" w:rsidP="006C303E">
    <w:pPr>
      <w:pStyle w:val="Pidipagina"/>
      <w:jc w:val="center"/>
      <w:rPr>
        <w:rFonts w:ascii="Georgia" w:hAnsi="Georgia"/>
        <w:color w:val="373534"/>
        <w:sz w:val="18"/>
      </w:rPr>
    </w:pPr>
    <w:r w:rsidRPr="00207C64">
      <w:rPr>
        <w:rFonts w:ascii="Georgia" w:hAnsi="Georgia"/>
        <w:color w:val="373534"/>
        <w:sz w:val="18"/>
      </w:rPr>
      <w:t>Via</w:t>
    </w:r>
    <w:r>
      <w:rPr>
        <w:rFonts w:ascii="Georgia" w:hAnsi="Georgia"/>
        <w:color w:val="373534"/>
        <w:sz w:val="18"/>
      </w:rPr>
      <w:t xml:space="preserve"> S. Sofia</w:t>
    </w:r>
    <w:r w:rsidRPr="00207C64">
      <w:rPr>
        <w:rFonts w:ascii="Georgia" w:hAnsi="Georgia"/>
        <w:color w:val="373534"/>
        <w:sz w:val="18"/>
      </w:rPr>
      <w:t>, 6</w:t>
    </w:r>
    <w:r>
      <w:rPr>
        <w:rFonts w:ascii="Georgia" w:hAnsi="Georgia"/>
        <w:color w:val="373534"/>
        <w:sz w:val="18"/>
      </w:rPr>
      <w:t>4</w:t>
    </w:r>
    <w:r w:rsidRPr="00207C64">
      <w:rPr>
        <w:rFonts w:ascii="Georgia" w:hAnsi="Georgia"/>
        <w:color w:val="373534"/>
        <w:sz w:val="18"/>
      </w:rPr>
      <w:t xml:space="preserve"> – 951</w:t>
    </w:r>
    <w:r>
      <w:rPr>
        <w:rFonts w:ascii="Georgia" w:hAnsi="Georgia"/>
        <w:color w:val="373534"/>
        <w:sz w:val="18"/>
      </w:rPr>
      <w:t xml:space="preserve">23 Catania – tel. 095 378 5111 </w:t>
    </w:r>
    <w:r w:rsidRPr="00207C64">
      <w:rPr>
        <w:rFonts w:ascii="Georgia" w:hAnsi="Georgia"/>
        <w:color w:val="373534"/>
        <w:sz w:val="18"/>
      </w:rPr>
      <w:t xml:space="preserve">– e-mail: </w:t>
    </w:r>
    <w:r>
      <w:rPr>
        <w:rFonts w:ascii="Georgia" w:hAnsi="Georgia"/>
        <w:color w:val="373534"/>
        <w:sz w:val="18"/>
      </w:rPr>
      <w:t>dfa</w:t>
    </w:r>
    <w:r w:rsidRPr="00207C64">
      <w:rPr>
        <w:rFonts w:ascii="Georgia" w:hAnsi="Georgia"/>
        <w:color w:val="373534"/>
        <w:sz w:val="18"/>
      </w:rPr>
      <w:t>@</w:t>
    </w:r>
    <w:r>
      <w:rPr>
        <w:rFonts w:ascii="Georgia" w:hAnsi="Georgia"/>
        <w:color w:val="373534"/>
        <w:sz w:val="18"/>
      </w:rPr>
      <w:t>unict.</w:t>
    </w:r>
    <w:r w:rsidRPr="00207C64">
      <w:rPr>
        <w:rFonts w:ascii="Georgia" w:hAnsi="Georgia"/>
        <w:color w:val="373534"/>
        <w:sz w:val="18"/>
      </w:rPr>
      <w:t>it</w:t>
    </w:r>
    <w:r>
      <w:rPr>
        <w:rFonts w:ascii="Georgia" w:hAnsi="Georgia"/>
        <w:color w:val="373534"/>
        <w:sz w:val="18"/>
      </w:rPr>
      <w:t xml:space="preserve"> </w:t>
    </w:r>
    <w:r w:rsidRPr="00207C64">
      <w:rPr>
        <w:rFonts w:ascii="Georgia" w:hAnsi="Georgia"/>
        <w:color w:val="373534"/>
        <w:sz w:val="18"/>
      </w:rPr>
      <w:t>– http://www.dfa.unict.it/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16F4F" w14:textId="77777777" w:rsidR="004768E4" w:rsidRPr="00207C64" w:rsidRDefault="004768E4" w:rsidP="004768E4">
    <w:pPr>
      <w:pStyle w:val="Pidipagina"/>
      <w:pBdr>
        <w:top w:val="single" w:sz="4" w:space="1" w:color="373534"/>
      </w:pBdr>
      <w:jc w:val="center"/>
      <w:rPr>
        <w:rFonts w:ascii="Georgia" w:hAnsi="Georgia"/>
        <w:color w:val="373534"/>
        <w:sz w:val="18"/>
      </w:rPr>
    </w:pPr>
    <w:r w:rsidRPr="00207C64">
      <w:rPr>
        <w:rFonts w:ascii="Georgia" w:hAnsi="Georgia"/>
        <w:color w:val="373534"/>
        <w:sz w:val="18"/>
      </w:rPr>
      <w:t>Dipartimento di Fisica e Astronomia</w:t>
    </w:r>
    <w:r w:rsidR="006C303E">
      <w:rPr>
        <w:rFonts w:ascii="Georgia" w:hAnsi="Georgia"/>
        <w:color w:val="373534"/>
        <w:sz w:val="18"/>
      </w:rPr>
      <w:t xml:space="preserve"> “Ettore Majorana”</w:t>
    </w:r>
  </w:p>
  <w:p w14:paraId="0A97E1D3" w14:textId="77777777" w:rsidR="004A2D06" w:rsidRPr="004768E4" w:rsidRDefault="004768E4" w:rsidP="006C303E">
    <w:pPr>
      <w:pStyle w:val="Pidipagina"/>
      <w:jc w:val="center"/>
      <w:rPr>
        <w:rFonts w:ascii="Georgia" w:hAnsi="Georgia"/>
        <w:color w:val="373534"/>
        <w:sz w:val="18"/>
      </w:rPr>
    </w:pPr>
    <w:r w:rsidRPr="00207C64">
      <w:rPr>
        <w:rFonts w:ascii="Georgia" w:hAnsi="Georgia"/>
        <w:color w:val="373534"/>
        <w:sz w:val="18"/>
      </w:rPr>
      <w:t>Via</w:t>
    </w:r>
    <w:r w:rsidR="009D330C">
      <w:rPr>
        <w:rFonts w:ascii="Georgia" w:hAnsi="Georgia"/>
        <w:color w:val="373534"/>
        <w:sz w:val="18"/>
      </w:rPr>
      <w:t xml:space="preserve"> S</w:t>
    </w:r>
    <w:r>
      <w:rPr>
        <w:rFonts w:ascii="Georgia" w:hAnsi="Georgia"/>
        <w:color w:val="373534"/>
        <w:sz w:val="18"/>
      </w:rPr>
      <w:t xml:space="preserve">. </w:t>
    </w:r>
    <w:r w:rsidR="009D330C">
      <w:rPr>
        <w:rFonts w:ascii="Georgia" w:hAnsi="Georgia"/>
        <w:color w:val="373534"/>
        <w:sz w:val="18"/>
      </w:rPr>
      <w:t>Sof</w:t>
    </w:r>
    <w:r>
      <w:rPr>
        <w:rFonts w:ascii="Georgia" w:hAnsi="Georgia"/>
        <w:color w:val="373534"/>
        <w:sz w:val="18"/>
      </w:rPr>
      <w:t>ia</w:t>
    </w:r>
    <w:r w:rsidRPr="00207C64">
      <w:rPr>
        <w:rFonts w:ascii="Georgia" w:hAnsi="Georgia"/>
        <w:color w:val="373534"/>
        <w:sz w:val="18"/>
      </w:rPr>
      <w:t>, 6</w:t>
    </w:r>
    <w:r w:rsidR="009D330C">
      <w:rPr>
        <w:rFonts w:ascii="Georgia" w:hAnsi="Georgia"/>
        <w:color w:val="373534"/>
        <w:sz w:val="18"/>
      </w:rPr>
      <w:t>4</w:t>
    </w:r>
    <w:r w:rsidRPr="00207C64">
      <w:rPr>
        <w:rFonts w:ascii="Georgia" w:hAnsi="Georgia"/>
        <w:color w:val="373534"/>
        <w:sz w:val="18"/>
      </w:rPr>
      <w:t xml:space="preserve"> – 951</w:t>
    </w:r>
    <w:r>
      <w:rPr>
        <w:rFonts w:ascii="Georgia" w:hAnsi="Georgia"/>
        <w:color w:val="373534"/>
        <w:sz w:val="18"/>
      </w:rPr>
      <w:t xml:space="preserve">23 Catania – tel. 095 378 5111 </w:t>
    </w:r>
    <w:r w:rsidRPr="00207C64">
      <w:rPr>
        <w:rFonts w:ascii="Georgia" w:hAnsi="Georgia"/>
        <w:color w:val="373534"/>
        <w:sz w:val="18"/>
      </w:rPr>
      <w:t xml:space="preserve">– e-mail: </w:t>
    </w:r>
    <w:r w:rsidR="009D330C">
      <w:rPr>
        <w:rFonts w:ascii="Georgia" w:hAnsi="Georgia"/>
        <w:color w:val="373534"/>
        <w:sz w:val="18"/>
      </w:rPr>
      <w:t>dfa</w:t>
    </w:r>
    <w:r w:rsidRPr="00207C64">
      <w:rPr>
        <w:rFonts w:ascii="Georgia" w:hAnsi="Georgia"/>
        <w:color w:val="373534"/>
        <w:sz w:val="18"/>
      </w:rPr>
      <w:t>@</w:t>
    </w:r>
    <w:r>
      <w:rPr>
        <w:rFonts w:ascii="Georgia" w:hAnsi="Georgia"/>
        <w:color w:val="373534"/>
        <w:sz w:val="18"/>
      </w:rPr>
      <w:t>unict.</w:t>
    </w:r>
    <w:r w:rsidRPr="00207C64">
      <w:rPr>
        <w:rFonts w:ascii="Georgia" w:hAnsi="Georgia"/>
        <w:color w:val="373534"/>
        <w:sz w:val="18"/>
      </w:rPr>
      <w:t>it</w:t>
    </w:r>
    <w:r w:rsidR="006C303E">
      <w:rPr>
        <w:rFonts w:ascii="Georgia" w:hAnsi="Georgia"/>
        <w:color w:val="373534"/>
        <w:sz w:val="18"/>
      </w:rPr>
      <w:t xml:space="preserve"> </w:t>
    </w:r>
    <w:r w:rsidR="006C303E" w:rsidRPr="00207C64">
      <w:rPr>
        <w:rFonts w:ascii="Georgia" w:hAnsi="Georgia"/>
        <w:color w:val="373534"/>
        <w:sz w:val="18"/>
      </w:rPr>
      <w:t xml:space="preserve">– </w:t>
    </w:r>
    <w:r w:rsidRPr="00207C64">
      <w:rPr>
        <w:rFonts w:ascii="Georgia" w:hAnsi="Georgia"/>
        <w:color w:val="373534"/>
        <w:sz w:val="18"/>
      </w:rPr>
      <w:t>http://www.dfa.unict.it/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DE615" w14:textId="77777777" w:rsidR="00687F35" w:rsidRDefault="00687F35" w:rsidP="007E1AE5">
      <w:pPr>
        <w:spacing w:after="0" w:line="240" w:lineRule="auto"/>
      </w:pPr>
      <w:r>
        <w:separator/>
      </w:r>
    </w:p>
  </w:footnote>
  <w:footnote w:type="continuationSeparator" w:id="0">
    <w:p w14:paraId="47EBE118" w14:textId="77777777" w:rsidR="00687F35" w:rsidRDefault="00687F35" w:rsidP="007E1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115" w:type="dxa"/>
      <w:tblBorders>
        <w:insideH w:val="single" w:sz="8" w:space="0" w:color="auto"/>
        <w:insideV w:val="single" w:sz="8" w:space="0" w:color="auto"/>
      </w:tblBorders>
      <w:tblCellMar>
        <w:top w:w="58" w:type="dxa"/>
        <w:left w:w="115" w:type="dxa"/>
        <w:bottom w:w="58" w:type="dxa"/>
        <w:right w:w="115" w:type="dxa"/>
      </w:tblCellMar>
      <w:tblLook w:val="04A0" w:firstRow="1" w:lastRow="0" w:firstColumn="1" w:lastColumn="0" w:noHBand="0" w:noVBand="1"/>
    </w:tblPr>
    <w:tblGrid>
      <w:gridCol w:w="9638"/>
    </w:tblGrid>
    <w:tr w:rsidR="000B4751" w14:paraId="40887117" w14:textId="77777777" w:rsidTr="000B4751">
      <w:trPr>
        <w:trHeight w:val="488"/>
      </w:trPr>
      <w:tc>
        <w:tcPr>
          <w:tcW w:w="5000" w:type="pct"/>
        </w:tcPr>
        <w:p w14:paraId="6BD5CA1E" w14:textId="77777777" w:rsidR="000B4751" w:rsidRDefault="000B4751" w:rsidP="000B4751">
          <w:pPr>
            <w:pStyle w:val="Intestazione"/>
            <w:rPr>
              <w:rFonts w:ascii="Georgia" w:eastAsiaTheme="majorEastAsia" w:hAnsi="Georgia" w:cstheme="majorBidi"/>
              <w:smallCaps/>
              <w:color w:val="373534"/>
              <w:sz w:val="20"/>
              <w:szCs w:val="18"/>
            </w:rPr>
          </w:pPr>
          <w:r w:rsidRPr="000B4751">
            <w:rPr>
              <w:rFonts w:ascii="Georgia" w:eastAsiaTheme="majorEastAsia" w:hAnsi="Georgia" w:cstheme="majorBidi"/>
              <w:b/>
              <w:smallCaps/>
              <w:color w:val="373534"/>
              <w:sz w:val="20"/>
              <w:szCs w:val="18"/>
            </w:rPr>
            <w:t xml:space="preserve">Università degli Studi di Catania - </w:t>
          </w:r>
          <w:proofErr w:type="gramStart"/>
          <w:r w:rsidRPr="000B4751">
            <w:rPr>
              <w:rFonts w:ascii="Georgia" w:eastAsiaTheme="majorEastAsia" w:hAnsi="Georgia" w:cstheme="majorBidi"/>
              <w:b/>
              <w:smallCaps/>
              <w:color w:val="373534"/>
              <w:sz w:val="20"/>
              <w:szCs w:val="18"/>
            </w:rPr>
            <w:t>D</w:t>
          </w:r>
          <w:r w:rsidRPr="000B4751">
            <w:rPr>
              <w:rFonts w:ascii="Georgia" w:eastAsiaTheme="majorEastAsia" w:hAnsi="Georgia" w:cstheme="majorBidi"/>
              <w:smallCaps/>
              <w:color w:val="373534"/>
              <w:sz w:val="20"/>
              <w:szCs w:val="18"/>
            </w:rPr>
            <w:t>ipartimento  di</w:t>
          </w:r>
          <w:proofErr w:type="gramEnd"/>
          <w:r w:rsidRPr="000B4751">
            <w:rPr>
              <w:rFonts w:ascii="Georgia" w:eastAsiaTheme="majorEastAsia" w:hAnsi="Georgia" w:cstheme="majorBidi"/>
              <w:smallCaps/>
              <w:color w:val="373534"/>
              <w:sz w:val="20"/>
              <w:szCs w:val="18"/>
            </w:rPr>
            <w:t xml:space="preserve">  </w:t>
          </w:r>
          <w:r w:rsidRPr="000B4751">
            <w:rPr>
              <w:rFonts w:ascii="Georgia" w:eastAsiaTheme="majorEastAsia" w:hAnsi="Georgia" w:cstheme="majorBidi"/>
              <w:b/>
              <w:smallCaps/>
              <w:color w:val="373534"/>
              <w:sz w:val="20"/>
              <w:szCs w:val="18"/>
            </w:rPr>
            <w:t>F</w:t>
          </w:r>
          <w:r w:rsidRPr="000B4751">
            <w:rPr>
              <w:rFonts w:ascii="Georgia" w:eastAsiaTheme="majorEastAsia" w:hAnsi="Georgia" w:cstheme="majorBidi"/>
              <w:smallCaps/>
              <w:color w:val="373534"/>
              <w:sz w:val="20"/>
              <w:szCs w:val="18"/>
            </w:rPr>
            <w:t xml:space="preserve">isica  e  </w:t>
          </w:r>
          <w:r w:rsidRPr="000B4751">
            <w:rPr>
              <w:rFonts w:ascii="Georgia" w:eastAsiaTheme="majorEastAsia" w:hAnsi="Georgia" w:cstheme="majorBidi"/>
              <w:b/>
              <w:smallCaps/>
              <w:color w:val="373534"/>
              <w:sz w:val="20"/>
              <w:szCs w:val="18"/>
            </w:rPr>
            <w:t>A</w:t>
          </w:r>
          <w:r w:rsidRPr="000B4751">
            <w:rPr>
              <w:rFonts w:ascii="Georgia" w:eastAsiaTheme="majorEastAsia" w:hAnsi="Georgia" w:cstheme="majorBidi"/>
              <w:smallCaps/>
              <w:color w:val="373534"/>
              <w:sz w:val="20"/>
              <w:szCs w:val="18"/>
            </w:rPr>
            <w:t>stronomia “</w:t>
          </w:r>
          <w:r w:rsidRPr="000B4751">
            <w:rPr>
              <w:rFonts w:ascii="Georgia" w:eastAsiaTheme="majorEastAsia" w:hAnsi="Georgia" w:cstheme="majorBidi"/>
              <w:b/>
              <w:bCs/>
              <w:smallCaps/>
              <w:color w:val="373534"/>
              <w:sz w:val="20"/>
              <w:szCs w:val="18"/>
            </w:rPr>
            <w:t>E</w:t>
          </w:r>
          <w:r w:rsidRPr="000B4751">
            <w:rPr>
              <w:rFonts w:ascii="Georgia" w:eastAsiaTheme="majorEastAsia" w:hAnsi="Georgia" w:cstheme="majorBidi"/>
              <w:smallCaps/>
              <w:color w:val="373534"/>
              <w:sz w:val="20"/>
              <w:szCs w:val="18"/>
            </w:rPr>
            <w:t xml:space="preserve">ttore </w:t>
          </w:r>
          <w:r w:rsidRPr="000B4751">
            <w:rPr>
              <w:rFonts w:ascii="Georgia" w:eastAsiaTheme="majorEastAsia" w:hAnsi="Georgia" w:cstheme="majorBidi"/>
              <w:b/>
              <w:bCs/>
              <w:smallCaps/>
              <w:color w:val="373534"/>
              <w:sz w:val="20"/>
              <w:szCs w:val="18"/>
            </w:rPr>
            <w:t>M</w:t>
          </w:r>
          <w:r w:rsidRPr="000B4751">
            <w:rPr>
              <w:rFonts w:ascii="Georgia" w:eastAsiaTheme="majorEastAsia" w:hAnsi="Georgia" w:cstheme="majorBidi"/>
              <w:smallCaps/>
              <w:color w:val="373534"/>
              <w:sz w:val="20"/>
              <w:szCs w:val="18"/>
            </w:rPr>
            <w:t>ajorana”</w:t>
          </w:r>
        </w:p>
        <w:p w14:paraId="03B7E2E7" w14:textId="77777777" w:rsidR="000B4751" w:rsidRPr="00C32738" w:rsidRDefault="000B4751" w:rsidP="000B4751">
          <w:pPr>
            <w:pStyle w:val="Intestazione"/>
            <w:spacing w:after="120"/>
            <w:jc w:val="center"/>
            <w:rPr>
              <w:color w:val="373534"/>
            </w:rPr>
          </w:pPr>
          <w:r>
            <w:rPr>
              <w:color w:val="373534"/>
            </w:rPr>
            <w:t>__________________________________________________________</w:t>
          </w:r>
        </w:p>
      </w:tc>
    </w:tr>
  </w:tbl>
  <w:p w14:paraId="4D674989" w14:textId="77777777" w:rsidR="00C21774" w:rsidRPr="0013419D" w:rsidRDefault="00C21774" w:rsidP="004A2D06">
    <w:pPr>
      <w:pStyle w:val="Intestazione"/>
      <w:rPr>
        <w:sz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insideH w:val="single" w:sz="8" w:space="0" w:color="auto"/>
        <w:insideV w:val="single" w:sz="8" w:space="0" w:color="auto"/>
      </w:tblBorders>
      <w:tblCellMar>
        <w:top w:w="58" w:type="dxa"/>
        <w:left w:w="115" w:type="dxa"/>
        <w:bottom w:w="58" w:type="dxa"/>
        <w:right w:w="115" w:type="dxa"/>
      </w:tblCellMar>
      <w:tblLook w:val="04A0" w:firstRow="1" w:lastRow="0" w:firstColumn="1" w:lastColumn="0" w:noHBand="0" w:noVBand="1"/>
    </w:tblPr>
    <w:tblGrid>
      <w:gridCol w:w="2599"/>
      <w:gridCol w:w="7039"/>
    </w:tblGrid>
    <w:tr w:rsidR="004A2D06" w:rsidRPr="00C32738" w14:paraId="6B279F72" w14:textId="77777777" w:rsidTr="006C303E">
      <w:trPr>
        <w:trHeight w:val="942"/>
      </w:trPr>
      <w:tc>
        <w:tcPr>
          <w:tcW w:w="1348" w:type="pct"/>
          <w:vMerge w:val="restart"/>
        </w:tcPr>
        <w:p w14:paraId="2209A0DA" w14:textId="77777777" w:rsidR="004A2D06" w:rsidRPr="00C32738" w:rsidRDefault="004A2D06" w:rsidP="00572E48">
          <w:pPr>
            <w:pStyle w:val="Intestazione"/>
            <w:spacing w:after="120"/>
            <w:rPr>
              <w:color w:val="373534"/>
            </w:rPr>
          </w:pPr>
          <w:r w:rsidRPr="00C32738">
            <w:rPr>
              <w:noProof/>
              <w:color w:val="373534"/>
            </w:rPr>
            <w:drawing>
              <wp:inline distT="0" distB="0" distL="0" distR="0" wp14:anchorId="64822220" wp14:editId="6F64042F">
                <wp:extent cx="1504357" cy="647700"/>
                <wp:effectExtent l="0" t="0" r="0" b="0"/>
                <wp:docPr id="1" name="Immagine 1" descr="orizzontale-grigi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zzontale-grigio.png"/>
                        <pic:cNvPicPr/>
                      </pic:nvPicPr>
                      <pic:blipFill>
                        <a:blip r:embed="rId1">
                          <a:biLevel thresh="25000"/>
                        </a:blip>
                        <a:stretch>
                          <a:fillRect/>
                        </a:stretch>
                      </pic:blipFill>
                      <pic:spPr>
                        <a:xfrm>
                          <a:off x="0" y="0"/>
                          <a:ext cx="1532567" cy="659846"/>
                        </a:xfrm>
                        <a:prstGeom prst="rect">
                          <a:avLst/>
                        </a:prstGeom>
                      </pic:spPr>
                    </pic:pic>
                  </a:graphicData>
                </a:graphic>
              </wp:inline>
            </w:drawing>
          </w:r>
        </w:p>
      </w:tc>
      <w:tc>
        <w:tcPr>
          <w:tcW w:w="3652" w:type="pct"/>
          <w:vAlign w:val="center"/>
        </w:tcPr>
        <w:p w14:paraId="666C7DEB" w14:textId="77777777" w:rsidR="00525CA2" w:rsidRPr="006C303E" w:rsidRDefault="00464CD6" w:rsidP="006C303E">
          <w:pPr>
            <w:pStyle w:val="Intestazione"/>
            <w:tabs>
              <w:tab w:val="clear" w:pos="4819"/>
            </w:tabs>
            <w:spacing w:before="120" w:line="312" w:lineRule="auto"/>
            <w:ind w:left="1118"/>
            <w:jc w:val="center"/>
            <w:rPr>
              <w:rFonts w:ascii="Georgia" w:eastAsiaTheme="majorEastAsia" w:hAnsi="Georgia" w:cstheme="majorBidi"/>
              <w:b/>
              <w:smallCaps/>
              <w:color w:val="373534"/>
              <w:sz w:val="31"/>
              <w:szCs w:val="31"/>
            </w:rPr>
          </w:pPr>
          <w:r w:rsidRPr="006C303E">
            <w:rPr>
              <w:iCs/>
              <w:noProof/>
              <w:sz w:val="31"/>
              <w:szCs w:val="31"/>
            </w:rPr>
            <w:drawing>
              <wp:anchor distT="0" distB="0" distL="114300" distR="114300" simplePos="0" relativeHeight="251658240" behindDoc="1" locked="0" layoutInCell="1" allowOverlap="1" wp14:anchorId="6B0161C1" wp14:editId="2F100B7F">
                <wp:simplePos x="0" y="0"/>
                <wp:positionH relativeFrom="column">
                  <wp:posOffset>-69010</wp:posOffset>
                </wp:positionH>
                <wp:positionV relativeFrom="paragraph">
                  <wp:posOffset>-25800</wp:posOffset>
                </wp:positionV>
                <wp:extent cx="874741" cy="660400"/>
                <wp:effectExtent l="0" t="0" r="1905"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new_gray.jpg"/>
                        <pic:cNvPicPr/>
                      </pic:nvPicPr>
                      <pic:blipFill>
                        <a:blip r:embed="rId2">
                          <a:extLst>
                            <a:ext uri="{28A0092B-C50C-407E-A947-70E740481C1C}">
                              <a14:useLocalDpi xmlns:a14="http://schemas.microsoft.com/office/drawing/2010/main" val="0"/>
                            </a:ext>
                          </a:extLst>
                        </a:blip>
                        <a:stretch>
                          <a:fillRect/>
                        </a:stretch>
                      </pic:blipFill>
                      <pic:spPr>
                        <a:xfrm>
                          <a:off x="0" y="0"/>
                          <a:ext cx="874741" cy="660400"/>
                        </a:xfrm>
                        <a:prstGeom prst="rect">
                          <a:avLst/>
                        </a:prstGeom>
                      </pic:spPr>
                    </pic:pic>
                  </a:graphicData>
                </a:graphic>
                <wp14:sizeRelH relativeFrom="margin">
                  <wp14:pctWidth>0</wp14:pctWidth>
                </wp14:sizeRelH>
                <wp14:sizeRelV relativeFrom="margin">
                  <wp14:pctHeight>0</wp14:pctHeight>
                </wp14:sizeRelV>
              </wp:anchor>
            </w:drawing>
          </w:r>
          <w:r w:rsidR="004A2D06" w:rsidRPr="006C303E">
            <w:rPr>
              <w:rFonts w:ascii="Georgia" w:eastAsiaTheme="majorEastAsia" w:hAnsi="Georgia" w:cstheme="majorBidi"/>
              <w:b/>
              <w:smallCaps/>
              <w:color w:val="373534"/>
              <w:sz w:val="31"/>
              <w:szCs w:val="31"/>
            </w:rPr>
            <w:t>D</w:t>
          </w:r>
          <w:r w:rsidR="004A2D06" w:rsidRPr="006C303E">
            <w:rPr>
              <w:rFonts w:ascii="Georgia" w:eastAsiaTheme="majorEastAsia" w:hAnsi="Georgia" w:cstheme="majorBidi"/>
              <w:smallCaps/>
              <w:color w:val="373534"/>
              <w:sz w:val="31"/>
              <w:szCs w:val="31"/>
            </w:rPr>
            <w:t xml:space="preserve">ipartimento  di  </w:t>
          </w:r>
          <w:r w:rsidR="004A2D06" w:rsidRPr="006C303E">
            <w:rPr>
              <w:rFonts w:ascii="Georgia" w:eastAsiaTheme="majorEastAsia" w:hAnsi="Georgia" w:cstheme="majorBidi"/>
              <w:b/>
              <w:smallCaps/>
              <w:color w:val="373534"/>
              <w:sz w:val="31"/>
              <w:szCs w:val="31"/>
            </w:rPr>
            <w:t>F</w:t>
          </w:r>
          <w:r w:rsidR="004A2D06" w:rsidRPr="006C303E">
            <w:rPr>
              <w:rFonts w:ascii="Georgia" w:eastAsiaTheme="majorEastAsia" w:hAnsi="Georgia" w:cstheme="majorBidi"/>
              <w:smallCaps/>
              <w:color w:val="373534"/>
              <w:sz w:val="31"/>
              <w:szCs w:val="31"/>
            </w:rPr>
            <w:t xml:space="preserve">isica  e  </w:t>
          </w:r>
          <w:r w:rsidR="004A2D06" w:rsidRPr="006C303E">
            <w:rPr>
              <w:rFonts w:ascii="Georgia" w:eastAsiaTheme="majorEastAsia" w:hAnsi="Georgia" w:cstheme="majorBidi"/>
              <w:b/>
              <w:smallCaps/>
              <w:color w:val="373534"/>
              <w:sz w:val="31"/>
              <w:szCs w:val="31"/>
            </w:rPr>
            <w:t>A</w:t>
          </w:r>
          <w:r w:rsidR="004A2D06" w:rsidRPr="006C303E">
            <w:rPr>
              <w:rFonts w:ascii="Georgia" w:eastAsiaTheme="majorEastAsia" w:hAnsi="Georgia" w:cstheme="majorBidi"/>
              <w:smallCaps/>
              <w:color w:val="373534"/>
              <w:sz w:val="31"/>
              <w:szCs w:val="31"/>
            </w:rPr>
            <w:t>stronomia</w:t>
          </w:r>
          <w:r w:rsidR="00525CA2" w:rsidRPr="006C303E">
            <w:rPr>
              <w:rFonts w:ascii="Georgia" w:eastAsiaTheme="majorEastAsia" w:hAnsi="Georgia" w:cstheme="majorBidi"/>
              <w:smallCaps/>
              <w:color w:val="373534"/>
              <w:sz w:val="31"/>
              <w:szCs w:val="31"/>
            </w:rPr>
            <w:br/>
          </w:r>
          <w:r w:rsidR="009D330C" w:rsidRPr="006C303E">
            <w:rPr>
              <w:rFonts w:ascii="Georgia" w:eastAsiaTheme="majorEastAsia" w:hAnsi="Georgia" w:cstheme="majorBidi"/>
              <w:b/>
              <w:smallCaps/>
              <w:color w:val="373534"/>
              <w:sz w:val="31"/>
              <w:szCs w:val="31"/>
            </w:rPr>
            <w:t>“E</w:t>
          </w:r>
          <w:r w:rsidR="009D330C" w:rsidRPr="006C303E">
            <w:rPr>
              <w:rFonts w:ascii="Georgia" w:eastAsiaTheme="majorEastAsia" w:hAnsi="Georgia" w:cstheme="majorBidi"/>
              <w:smallCaps/>
              <w:color w:val="373534"/>
              <w:sz w:val="31"/>
              <w:szCs w:val="31"/>
            </w:rPr>
            <w:t xml:space="preserve">ttore  </w:t>
          </w:r>
          <w:r w:rsidR="009D330C" w:rsidRPr="006C303E">
            <w:rPr>
              <w:rFonts w:ascii="Georgia" w:eastAsiaTheme="majorEastAsia" w:hAnsi="Georgia" w:cstheme="majorBidi"/>
              <w:b/>
              <w:smallCaps/>
              <w:color w:val="373534"/>
              <w:sz w:val="31"/>
              <w:szCs w:val="31"/>
            </w:rPr>
            <w:t>M</w:t>
          </w:r>
          <w:r w:rsidR="009D330C" w:rsidRPr="006C303E">
            <w:rPr>
              <w:rFonts w:ascii="Georgia" w:eastAsiaTheme="majorEastAsia" w:hAnsi="Georgia" w:cstheme="majorBidi"/>
              <w:smallCaps/>
              <w:color w:val="373534"/>
              <w:sz w:val="31"/>
              <w:szCs w:val="31"/>
            </w:rPr>
            <w:t>ajorana</w:t>
          </w:r>
          <w:r w:rsidR="009D330C" w:rsidRPr="006C303E">
            <w:rPr>
              <w:rFonts w:ascii="Georgia" w:eastAsiaTheme="majorEastAsia" w:hAnsi="Georgia" w:cstheme="majorBidi"/>
              <w:b/>
              <w:smallCaps/>
              <w:color w:val="373534"/>
              <w:sz w:val="31"/>
              <w:szCs w:val="31"/>
            </w:rPr>
            <w:t>”</w:t>
          </w:r>
        </w:p>
      </w:tc>
    </w:tr>
    <w:tr w:rsidR="004A2D06" w:rsidRPr="00C32738" w14:paraId="6F19634C" w14:textId="77777777" w:rsidTr="006C303E">
      <w:trPr>
        <w:trHeight w:val="520"/>
      </w:trPr>
      <w:tc>
        <w:tcPr>
          <w:tcW w:w="1348" w:type="pct"/>
          <w:vMerge/>
        </w:tcPr>
        <w:p w14:paraId="6A1CDB03" w14:textId="77777777" w:rsidR="004A2D06" w:rsidRPr="00C32738" w:rsidRDefault="004A2D06" w:rsidP="00572E48">
          <w:pPr>
            <w:pStyle w:val="Intestazione"/>
            <w:rPr>
              <w:noProof/>
              <w:color w:val="373534"/>
            </w:rPr>
          </w:pPr>
        </w:p>
      </w:tc>
      <w:tc>
        <w:tcPr>
          <w:tcW w:w="3652" w:type="pct"/>
        </w:tcPr>
        <w:p w14:paraId="700AF301" w14:textId="77777777" w:rsidR="004A2D06" w:rsidRPr="00C32738" w:rsidRDefault="004A2D06" w:rsidP="00177DD5">
          <w:pPr>
            <w:pStyle w:val="Intestazione"/>
            <w:tabs>
              <w:tab w:val="clear" w:pos="4819"/>
              <w:tab w:val="center" w:pos="3812"/>
            </w:tabs>
            <w:rPr>
              <w:rFonts w:asciiTheme="majorHAnsi" w:eastAsiaTheme="majorEastAsia" w:hAnsiTheme="majorHAnsi" w:cstheme="majorBidi"/>
              <w:color w:val="373534"/>
              <w:sz w:val="24"/>
              <w:szCs w:val="24"/>
            </w:rPr>
          </w:pPr>
        </w:p>
      </w:tc>
    </w:tr>
  </w:tbl>
  <w:p w14:paraId="3C035737" w14:textId="77777777" w:rsidR="004A2D06" w:rsidRDefault="004A2D06">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44FF1"/>
    <w:multiLevelType w:val="hybridMultilevel"/>
    <w:tmpl w:val="F0907B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D0"/>
    <w:rsid w:val="00011423"/>
    <w:rsid w:val="0009788A"/>
    <w:rsid w:val="000B45B9"/>
    <w:rsid w:val="000B4751"/>
    <w:rsid w:val="000C5338"/>
    <w:rsid w:val="0013419D"/>
    <w:rsid w:val="00166762"/>
    <w:rsid w:val="00177DD5"/>
    <w:rsid w:val="001909DF"/>
    <w:rsid w:val="001A133D"/>
    <w:rsid w:val="001B1660"/>
    <w:rsid w:val="001E3311"/>
    <w:rsid w:val="00207C64"/>
    <w:rsid w:val="00227601"/>
    <w:rsid w:val="00241589"/>
    <w:rsid w:val="00273189"/>
    <w:rsid w:val="00283B04"/>
    <w:rsid w:val="002B04ED"/>
    <w:rsid w:val="002D35A1"/>
    <w:rsid w:val="002E37A0"/>
    <w:rsid w:val="0032692D"/>
    <w:rsid w:val="003423E1"/>
    <w:rsid w:val="00353FEF"/>
    <w:rsid w:val="0036001F"/>
    <w:rsid w:val="00374731"/>
    <w:rsid w:val="003A2D3A"/>
    <w:rsid w:val="003E0643"/>
    <w:rsid w:val="004135E3"/>
    <w:rsid w:val="00424AF8"/>
    <w:rsid w:val="00464CD6"/>
    <w:rsid w:val="004768E4"/>
    <w:rsid w:val="004778DE"/>
    <w:rsid w:val="004806F0"/>
    <w:rsid w:val="00480DD0"/>
    <w:rsid w:val="00487C0C"/>
    <w:rsid w:val="004A2D06"/>
    <w:rsid w:val="004C5723"/>
    <w:rsid w:val="004C6CE3"/>
    <w:rsid w:val="004D72BE"/>
    <w:rsid w:val="00525CA2"/>
    <w:rsid w:val="00526B59"/>
    <w:rsid w:val="0056132D"/>
    <w:rsid w:val="00574E29"/>
    <w:rsid w:val="00577BCB"/>
    <w:rsid w:val="005D4A11"/>
    <w:rsid w:val="005F18A6"/>
    <w:rsid w:val="006029BF"/>
    <w:rsid w:val="006524A8"/>
    <w:rsid w:val="00677A53"/>
    <w:rsid w:val="00687F35"/>
    <w:rsid w:val="006C303E"/>
    <w:rsid w:val="007213A6"/>
    <w:rsid w:val="007B1BA8"/>
    <w:rsid w:val="007B319C"/>
    <w:rsid w:val="007D50B6"/>
    <w:rsid w:val="007E1AE5"/>
    <w:rsid w:val="00805B7C"/>
    <w:rsid w:val="00833A7C"/>
    <w:rsid w:val="00844BA4"/>
    <w:rsid w:val="0085067D"/>
    <w:rsid w:val="008746F5"/>
    <w:rsid w:val="009117FB"/>
    <w:rsid w:val="009B2F04"/>
    <w:rsid w:val="009D330C"/>
    <w:rsid w:val="00A25CCF"/>
    <w:rsid w:val="00A53273"/>
    <w:rsid w:val="00A627F7"/>
    <w:rsid w:val="00AA4FCD"/>
    <w:rsid w:val="00AD79A2"/>
    <w:rsid w:val="00AE0513"/>
    <w:rsid w:val="00AE2AB4"/>
    <w:rsid w:val="00AE5135"/>
    <w:rsid w:val="00B162BA"/>
    <w:rsid w:val="00B22EC9"/>
    <w:rsid w:val="00B57A1D"/>
    <w:rsid w:val="00B751BD"/>
    <w:rsid w:val="00BA3501"/>
    <w:rsid w:val="00BC48E0"/>
    <w:rsid w:val="00BC7CEA"/>
    <w:rsid w:val="00C21774"/>
    <w:rsid w:val="00C32738"/>
    <w:rsid w:val="00C67F9B"/>
    <w:rsid w:val="00CA4FB4"/>
    <w:rsid w:val="00CD2308"/>
    <w:rsid w:val="00CD2BD0"/>
    <w:rsid w:val="00D33DBC"/>
    <w:rsid w:val="00D369C0"/>
    <w:rsid w:val="00D60436"/>
    <w:rsid w:val="00DE685B"/>
    <w:rsid w:val="00E14531"/>
    <w:rsid w:val="00E438A4"/>
    <w:rsid w:val="00E63EB6"/>
    <w:rsid w:val="00E65932"/>
    <w:rsid w:val="00E9762B"/>
    <w:rsid w:val="00F45A30"/>
    <w:rsid w:val="00F4690E"/>
    <w:rsid w:val="00F527E4"/>
    <w:rsid w:val="00F675E6"/>
    <w:rsid w:val="00FC45D3"/>
    <w:rsid w:val="00FF1D4C"/>
  </w:rsids>
  <m:mathPr>
    <m:mathFont m:val="Cambria Math"/>
    <m:brkBin m:val="before"/>
    <m:brkBinSub m:val="--"/>
    <m:smallFrac m:val="0"/>
    <m:dispDef/>
    <m:lMargin m:val="0"/>
    <m:rMargin m:val="0"/>
    <m:defJc m:val="centerGroup"/>
    <m:wrapIndent m:val="1440"/>
    <m:intLim m:val="subSup"/>
    <m:naryLim m:val="undOvr"/>
  </m:mathPr>
  <w:themeFontLang w:val="it-IT"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F09DC"/>
  <w15:docId w15:val="{88B64FE0-2D17-9742-9982-17287FEF0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E1A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E1AE5"/>
  </w:style>
  <w:style w:type="paragraph" w:styleId="Pidipagina">
    <w:name w:val="footer"/>
    <w:basedOn w:val="Normale"/>
    <w:link w:val="PidipaginaCarattere"/>
    <w:uiPriority w:val="99"/>
    <w:unhideWhenUsed/>
    <w:rsid w:val="007E1A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E1AE5"/>
  </w:style>
  <w:style w:type="paragraph" w:styleId="Testofumetto">
    <w:name w:val="Balloon Text"/>
    <w:basedOn w:val="Normale"/>
    <w:link w:val="TestofumettoCarattere"/>
    <w:uiPriority w:val="99"/>
    <w:semiHidden/>
    <w:unhideWhenUsed/>
    <w:rsid w:val="007E1AE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E1AE5"/>
    <w:rPr>
      <w:rFonts w:ascii="Tahoma" w:hAnsi="Tahoma" w:cs="Tahoma"/>
      <w:sz w:val="16"/>
      <w:szCs w:val="16"/>
    </w:rPr>
  </w:style>
  <w:style w:type="character" w:styleId="Enfasicorsivo">
    <w:name w:val="Emphasis"/>
    <w:basedOn w:val="Carpredefinitoparagrafo"/>
    <w:uiPriority w:val="20"/>
    <w:qFormat/>
    <w:rsid w:val="007E1AE5"/>
    <w:rPr>
      <w:i/>
      <w:iCs/>
    </w:rPr>
  </w:style>
  <w:style w:type="character" w:styleId="Collegamentoipertestuale">
    <w:name w:val="Hyperlink"/>
    <w:basedOn w:val="Carpredefinitoparagrafo"/>
    <w:uiPriority w:val="99"/>
    <w:unhideWhenUsed/>
    <w:rsid w:val="0032692D"/>
    <w:rPr>
      <w:color w:val="0000FF" w:themeColor="hyperlink"/>
      <w:u w:val="single"/>
    </w:rPr>
  </w:style>
  <w:style w:type="character" w:customStyle="1" w:styleId="UnresolvedMention">
    <w:name w:val="Unresolved Mention"/>
    <w:basedOn w:val="Carpredefinitoparagrafo"/>
    <w:uiPriority w:val="99"/>
    <w:rsid w:val="006C303E"/>
    <w:rPr>
      <w:color w:val="605E5C"/>
      <w:shd w:val="clear" w:color="auto" w:fill="E1DFDD"/>
    </w:rPr>
  </w:style>
  <w:style w:type="paragraph" w:styleId="Paragrafoelenco">
    <w:name w:val="List Paragraph"/>
    <w:basedOn w:val="Normale"/>
    <w:uiPriority w:val="34"/>
    <w:qFormat/>
    <w:rsid w:val="00574E29"/>
    <w:pPr>
      <w:spacing w:after="0" w:line="240" w:lineRule="auto"/>
      <w:ind w:left="720"/>
      <w:contextualSpacing/>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1C5A57-F165-4033-BDAD-8463F3718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259</Words>
  <Characters>1482</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Dipartimento di Fisica e Astronomia</vt:lpstr>
    </vt:vector>
  </TitlesOfParts>
  <Company>PH3DRA Lab.</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Dipartimento di Fisica e Astronomia</dc:title>
  <dc:creator>Nunzio Nicotra</dc:creator>
  <cp:lastModifiedBy>Salvo</cp:lastModifiedBy>
  <cp:revision>7</cp:revision>
  <cp:lastPrinted>2019-03-08T11:42:00Z</cp:lastPrinted>
  <dcterms:created xsi:type="dcterms:W3CDTF">2021-05-21T09:33:00Z</dcterms:created>
  <dcterms:modified xsi:type="dcterms:W3CDTF">2021-05-22T15:14:00Z</dcterms:modified>
</cp:coreProperties>
</file>