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E8CB" w14:textId="07805ECF" w:rsidR="005D1E7A" w:rsidRPr="0072754D" w:rsidRDefault="005D1E7A" w:rsidP="005D1E7A">
      <w:pPr>
        <w:jc w:val="both"/>
        <w:rPr>
          <w:iCs/>
          <w:lang w:val="en-US"/>
        </w:rPr>
      </w:pPr>
      <w:r w:rsidRPr="0072754D">
        <w:rPr>
          <w:iCs/>
          <w:lang w:val="en-US"/>
        </w:rPr>
        <w:t>_______________________________________________________________________________________</w:t>
      </w:r>
    </w:p>
    <w:p w14:paraId="45985CAC" w14:textId="0B811A9F" w:rsidR="00054E6C" w:rsidRPr="00110AD0" w:rsidRDefault="0072754D" w:rsidP="00054E6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smallCaps/>
          <w:lang w:val="en-US"/>
        </w:rPr>
      </w:pPr>
      <w:r w:rsidRPr="00110AD0">
        <w:rPr>
          <w:rFonts w:ascii="Arial" w:hAnsi="Arial" w:cs="Arial"/>
          <w:b/>
          <w:bCs/>
          <w:smallCaps/>
          <w:sz w:val="36"/>
          <w:szCs w:val="36"/>
          <w:lang w:val="en-US"/>
        </w:rPr>
        <w:t>Advanced statistical methods for Astronomy and Astrophysics</w:t>
      </w:r>
    </w:p>
    <w:p w14:paraId="2D4D3F41" w14:textId="4C638CEC" w:rsidR="005D1E7A" w:rsidRPr="00110AD0" w:rsidRDefault="00054E6C" w:rsidP="005D1E7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110AD0">
        <w:rPr>
          <w:rFonts w:ascii="Arial" w:hAnsi="Arial" w:cs="Arial"/>
          <w:sz w:val="36"/>
          <w:szCs w:val="36"/>
          <w:lang w:val="en-US"/>
        </w:rPr>
        <w:t>2 CFU</w:t>
      </w:r>
    </w:p>
    <w:p w14:paraId="71AADF25" w14:textId="77777777" w:rsidR="005D1E7A" w:rsidRPr="00110AD0" w:rsidRDefault="00054E6C" w:rsidP="00110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110AD0">
        <w:rPr>
          <w:rFonts w:ascii="Arial" w:hAnsi="Arial" w:cs="Arial"/>
          <w:b/>
          <w:bCs/>
          <w:sz w:val="28"/>
          <w:szCs w:val="28"/>
          <w:lang w:val="en-US"/>
        </w:rPr>
        <w:t>Teaching staff </w:t>
      </w:r>
    </w:p>
    <w:p w14:paraId="7D4AF219" w14:textId="3B8FF79A" w:rsidR="005D1E7A" w:rsidRPr="00110AD0" w:rsidRDefault="0072754D" w:rsidP="00110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10AD0">
        <w:rPr>
          <w:rFonts w:ascii="Arial" w:hAnsi="Arial" w:cs="Arial"/>
          <w:b/>
          <w:bCs/>
          <w:sz w:val="28"/>
          <w:szCs w:val="28"/>
        </w:rPr>
        <w:t>Alessandro</w:t>
      </w:r>
      <w:r w:rsidR="00054E6C" w:rsidRPr="00110AD0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0AD0">
        <w:rPr>
          <w:rFonts w:ascii="Arial" w:hAnsi="Arial" w:cs="Arial"/>
          <w:b/>
          <w:bCs/>
          <w:sz w:val="28"/>
          <w:szCs w:val="28"/>
        </w:rPr>
        <w:t>Lanzafame</w:t>
      </w:r>
    </w:p>
    <w:p w14:paraId="06872CA4" w14:textId="3D16B50F" w:rsidR="005D1E7A" w:rsidRPr="00110AD0" w:rsidRDefault="00054E6C" w:rsidP="00110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0AD0">
        <w:rPr>
          <w:rFonts w:ascii="Arial" w:hAnsi="Arial" w:cs="Arial"/>
          <w:b/>
          <w:bCs/>
          <w:sz w:val="28"/>
          <w:szCs w:val="28"/>
        </w:rPr>
        <w:t>Email</w:t>
      </w:r>
      <w:r w:rsidRPr="00110AD0">
        <w:rPr>
          <w:rFonts w:ascii="Arial" w:hAnsi="Arial" w:cs="Arial"/>
          <w:sz w:val="28"/>
          <w:szCs w:val="28"/>
        </w:rPr>
        <w:t>:</w:t>
      </w:r>
      <w:r w:rsidR="0072754D" w:rsidRPr="00110AD0">
        <w:rPr>
          <w:rFonts w:ascii="Arial" w:hAnsi="Arial" w:cs="Arial"/>
          <w:sz w:val="28"/>
          <w:szCs w:val="28"/>
        </w:rPr>
        <w:t xml:space="preserve"> a.lanzafame@unict.it</w:t>
      </w:r>
      <w:r w:rsidRPr="00110AD0">
        <w:rPr>
          <w:rFonts w:ascii="Arial" w:hAnsi="Arial" w:cs="Arial"/>
          <w:sz w:val="28"/>
          <w:szCs w:val="28"/>
        </w:rPr>
        <w:t> </w:t>
      </w:r>
    </w:p>
    <w:p w14:paraId="4329585E" w14:textId="6E3A8B94" w:rsidR="005D1E7A" w:rsidRPr="00110AD0" w:rsidRDefault="00054E6C" w:rsidP="00110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110AD0">
        <w:rPr>
          <w:rFonts w:ascii="Arial" w:hAnsi="Arial" w:cs="Arial"/>
          <w:b/>
          <w:bCs/>
          <w:sz w:val="28"/>
          <w:szCs w:val="28"/>
          <w:lang w:val="en-US"/>
        </w:rPr>
        <w:t>Office</w:t>
      </w:r>
      <w:r w:rsidRPr="00110AD0">
        <w:rPr>
          <w:rFonts w:ascii="Arial" w:hAnsi="Arial" w:cs="Arial"/>
          <w:sz w:val="28"/>
          <w:szCs w:val="28"/>
          <w:lang w:val="en-US"/>
        </w:rPr>
        <w:t>:</w:t>
      </w:r>
      <w:r w:rsidR="0072754D" w:rsidRPr="00110AD0">
        <w:rPr>
          <w:rFonts w:ascii="Arial" w:hAnsi="Arial" w:cs="Arial"/>
          <w:sz w:val="28"/>
          <w:szCs w:val="28"/>
          <w:lang w:val="en-US"/>
        </w:rPr>
        <w:t xml:space="preserve"> DFA 210, OACT 48</w:t>
      </w:r>
      <w:r w:rsidRPr="00110AD0">
        <w:rPr>
          <w:rFonts w:ascii="Arial" w:hAnsi="Arial" w:cs="Arial"/>
          <w:sz w:val="28"/>
          <w:szCs w:val="28"/>
          <w:lang w:val="en-US"/>
        </w:rPr>
        <w:t> </w:t>
      </w:r>
    </w:p>
    <w:p w14:paraId="1D8EFB30" w14:textId="7B8C401F" w:rsidR="005D1E7A" w:rsidRPr="00110AD0" w:rsidRDefault="00054E6C" w:rsidP="00110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110AD0">
        <w:rPr>
          <w:rFonts w:ascii="Arial" w:hAnsi="Arial" w:cs="Arial"/>
          <w:b/>
          <w:bCs/>
          <w:sz w:val="28"/>
          <w:szCs w:val="28"/>
          <w:lang w:val="en-US"/>
        </w:rPr>
        <w:t>Telephone</w:t>
      </w:r>
      <w:r w:rsidRPr="00110AD0">
        <w:rPr>
          <w:rFonts w:ascii="Arial" w:hAnsi="Arial" w:cs="Arial"/>
          <w:sz w:val="28"/>
          <w:szCs w:val="28"/>
          <w:lang w:val="en-US"/>
        </w:rPr>
        <w:t>: +39</w:t>
      </w:r>
      <w:r w:rsidR="0072754D" w:rsidRPr="00110AD0">
        <w:rPr>
          <w:rFonts w:ascii="Arial" w:hAnsi="Arial" w:cs="Arial"/>
          <w:sz w:val="28"/>
          <w:szCs w:val="28"/>
          <w:lang w:val="en-US"/>
        </w:rPr>
        <w:t xml:space="preserve"> 095 378</w:t>
      </w:r>
      <w:r w:rsidR="0072754D" w:rsidRPr="00110AD0">
        <w:rPr>
          <w:rFonts w:ascii="Arial" w:hAnsi="Arial" w:cs="Arial"/>
          <w:sz w:val="28"/>
          <w:szCs w:val="28"/>
          <w:lang w:val="en-US"/>
        </w:rPr>
        <w:t xml:space="preserve">5337, </w:t>
      </w:r>
      <w:r w:rsidR="0072754D" w:rsidRPr="00110AD0">
        <w:rPr>
          <w:rFonts w:ascii="Arial" w:hAnsi="Arial" w:cs="Arial"/>
          <w:sz w:val="28"/>
          <w:szCs w:val="28"/>
          <w:lang w:val="en-US"/>
        </w:rPr>
        <w:t xml:space="preserve">+39 </w:t>
      </w:r>
      <w:r w:rsidR="0072754D" w:rsidRPr="00110AD0">
        <w:rPr>
          <w:rFonts w:ascii="Arial" w:hAnsi="Arial" w:cs="Arial"/>
          <w:sz w:val="28"/>
          <w:szCs w:val="28"/>
          <w:lang w:val="en-US"/>
        </w:rPr>
        <w:t>095 7332239</w:t>
      </w:r>
    </w:p>
    <w:p w14:paraId="75B90322" w14:textId="77777777" w:rsidR="005D1E7A" w:rsidRDefault="005D1E7A" w:rsidP="00054E6C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8"/>
          <w:szCs w:val="38"/>
          <w:lang w:val="en-US"/>
        </w:rPr>
      </w:pPr>
      <w:r>
        <w:rPr>
          <w:rFonts w:ascii="Times" w:hAnsi="Times" w:cs="Times"/>
          <w:noProof/>
          <w:sz w:val="24"/>
          <w:szCs w:val="24"/>
          <w:lang w:val="en-US" w:eastAsia="en-US"/>
        </w:rPr>
        <w:drawing>
          <wp:inline distT="0" distB="0" distL="0" distR="0" wp14:anchorId="6EAE3FE3" wp14:editId="7F297D4E">
            <wp:extent cx="6120130" cy="81398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59B0" w14:textId="3D2EF59D" w:rsidR="005D1E7A" w:rsidRDefault="00054E6C" w:rsidP="00054E6C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  <w:lang w:val="en-US"/>
        </w:rPr>
      </w:pPr>
      <w:r w:rsidRPr="00110AD0">
        <w:rPr>
          <w:rFonts w:ascii="Arial" w:hAnsi="Arial" w:cs="Arial"/>
          <w:b/>
          <w:bCs/>
          <w:sz w:val="32"/>
          <w:szCs w:val="32"/>
          <w:lang w:val="en-US"/>
        </w:rPr>
        <w:t>Program of the course</w:t>
      </w:r>
      <w:r w:rsidRPr="00110AD0">
        <w:rPr>
          <w:rFonts w:ascii="Arial" w:hAnsi="Arial" w:cs="Arial"/>
          <w:sz w:val="32"/>
          <w:szCs w:val="32"/>
          <w:lang w:val="en-US"/>
        </w:rPr>
        <w:t>:</w:t>
      </w:r>
    </w:p>
    <w:p w14:paraId="4D916638" w14:textId="5B7005A4" w:rsidR="00110AD0" w:rsidRPr="0050632E" w:rsidRDefault="00110AD0" w:rsidP="00110AD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  <w:lang w:val="en-US"/>
        </w:rPr>
      </w:pPr>
      <w:r w:rsidRPr="0050632E">
        <w:rPr>
          <w:rFonts w:ascii="Arial" w:hAnsi="Arial" w:cs="Arial"/>
          <w:sz w:val="28"/>
          <w:szCs w:val="28"/>
          <w:u w:val="single"/>
          <w:lang w:val="en-US"/>
        </w:rPr>
        <w:t>Probability and Statistical Distributions</w:t>
      </w:r>
      <w:r w:rsidRPr="0050632E">
        <w:rPr>
          <w:rFonts w:ascii="Arial" w:hAnsi="Arial" w:cs="Arial"/>
          <w:sz w:val="28"/>
          <w:szCs w:val="28"/>
          <w:lang w:val="en-US"/>
        </w:rPr>
        <w:t>. Uncertainties; Axioms of probability; Conditional probabilities; Bayes’ theorem; Independent events; Random variables; Density and distribution functions; Quantile function.</w:t>
      </w:r>
    </w:p>
    <w:p w14:paraId="57FF3642" w14:textId="40DFE60F" w:rsidR="00110AD0" w:rsidRPr="0050632E" w:rsidRDefault="00C00C82" w:rsidP="00110AD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  <w:lang w:val="en-US"/>
        </w:rPr>
      </w:pPr>
      <w:r w:rsidRPr="0050632E">
        <w:rPr>
          <w:rFonts w:ascii="Arial" w:hAnsi="Arial" w:cs="Arial"/>
          <w:sz w:val="28"/>
          <w:szCs w:val="28"/>
          <w:u w:val="single"/>
          <w:lang w:val="en-US"/>
        </w:rPr>
        <w:t xml:space="preserve">Classical </w:t>
      </w:r>
      <w:r w:rsidR="00110AD0" w:rsidRPr="0050632E">
        <w:rPr>
          <w:rFonts w:ascii="Arial" w:hAnsi="Arial" w:cs="Arial"/>
          <w:sz w:val="28"/>
          <w:szCs w:val="28"/>
          <w:u w:val="single"/>
          <w:lang w:val="en-US"/>
        </w:rPr>
        <w:t>Statistical inference</w:t>
      </w:r>
      <w:r w:rsidR="00110AD0" w:rsidRPr="0050632E">
        <w:rPr>
          <w:rFonts w:ascii="Arial" w:hAnsi="Arial" w:cs="Arial"/>
          <w:sz w:val="28"/>
          <w:szCs w:val="28"/>
          <w:lang w:val="en-US"/>
        </w:rPr>
        <w:t xml:space="preserve">. Concepts of statistical inference; </w:t>
      </w:r>
      <w:r w:rsidRPr="0050632E">
        <w:rPr>
          <w:rFonts w:ascii="Arial" w:hAnsi="Arial" w:cs="Arial"/>
          <w:sz w:val="28"/>
          <w:szCs w:val="28"/>
          <w:lang w:val="en-US"/>
        </w:rPr>
        <w:t>Classical vs. Bayesian Statistical Inference. Maximum Likelihood Estimation (MLE). Goodness of fit and Model Selection; Confidence Estimates; Hypothesis Testing; Comparison of distributions; Non-parametric Modeling. Selection effects and luminosity function estimation; Survival analysis.</w:t>
      </w:r>
    </w:p>
    <w:p w14:paraId="26FF2932" w14:textId="6889A08B" w:rsidR="00C00C82" w:rsidRPr="0050632E" w:rsidRDefault="00C00C82" w:rsidP="00110AD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  <w:lang w:val="en-US"/>
        </w:rPr>
      </w:pPr>
      <w:r w:rsidRPr="0050632E">
        <w:rPr>
          <w:rFonts w:ascii="Arial" w:hAnsi="Arial" w:cs="Arial"/>
          <w:sz w:val="28"/>
          <w:szCs w:val="28"/>
          <w:u w:val="single"/>
          <w:lang w:val="en-US"/>
        </w:rPr>
        <w:t>Bayesian Statistical inference</w:t>
      </w:r>
      <w:r w:rsidRPr="0050632E">
        <w:rPr>
          <w:rFonts w:ascii="Arial" w:hAnsi="Arial" w:cs="Arial"/>
          <w:sz w:val="28"/>
          <w:szCs w:val="28"/>
          <w:lang w:val="en-US"/>
        </w:rPr>
        <w:t xml:space="preserve">. Bayesian priors and posteriors; Uncertainty quantification; Model selections; The </w:t>
      </w:r>
      <w:proofErr w:type="spellStart"/>
      <w:r w:rsidRPr="0050632E">
        <w:rPr>
          <w:rFonts w:ascii="Arial" w:hAnsi="Arial" w:cs="Arial"/>
          <w:sz w:val="28"/>
          <w:szCs w:val="28"/>
          <w:lang w:val="en-US"/>
        </w:rPr>
        <w:t>Montecarlo</w:t>
      </w:r>
      <w:proofErr w:type="spellEnd"/>
      <w:r w:rsidRPr="0050632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632E">
        <w:rPr>
          <w:rFonts w:ascii="Arial" w:hAnsi="Arial" w:cs="Arial"/>
          <w:sz w:val="28"/>
          <w:szCs w:val="28"/>
          <w:lang w:val="en-US"/>
        </w:rPr>
        <w:t>Marcov</w:t>
      </w:r>
      <w:proofErr w:type="spellEnd"/>
      <w:r w:rsidRPr="0050632E">
        <w:rPr>
          <w:rFonts w:ascii="Arial" w:hAnsi="Arial" w:cs="Arial"/>
          <w:sz w:val="28"/>
          <w:szCs w:val="28"/>
          <w:lang w:val="en-US"/>
        </w:rPr>
        <w:t xml:space="preserve"> Chain (MCMC) method.</w:t>
      </w:r>
    </w:p>
    <w:p w14:paraId="5F8EC2F5" w14:textId="77777777" w:rsidR="00CC2E0E" w:rsidRPr="0050632E" w:rsidRDefault="00C00C82" w:rsidP="00110AD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  <w:lang w:val="en-US"/>
        </w:rPr>
      </w:pPr>
      <w:r w:rsidRPr="0050632E">
        <w:rPr>
          <w:rFonts w:ascii="Arial" w:hAnsi="Arial" w:cs="Arial"/>
          <w:sz w:val="28"/>
          <w:szCs w:val="28"/>
          <w:u w:val="single"/>
          <w:lang w:val="en-US"/>
        </w:rPr>
        <w:t>Reduction of dimensionalit</w:t>
      </w:r>
      <w:r w:rsidRPr="0050632E">
        <w:rPr>
          <w:rFonts w:ascii="Arial" w:hAnsi="Arial" w:cs="Arial"/>
          <w:sz w:val="28"/>
          <w:szCs w:val="28"/>
          <w:lang w:val="en-US"/>
        </w:rPr>
        <w:t xml:space="preserve">y. Principal component analysis (PCA) </w:t>
      </w:r>
    </w:p>
    <w:p w14:paraId="290E5B43" w14:textId="77777777" w:rsidR="00CC2E0E" w:rsidRPr="0050632E" w:rsidRDefault="00CC2E0E" w:rsidP="00110AD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  <w:lang w:val="en-US"/>
        </w:rPr>
      </w:pPr>
      <w:r w:rsidRPr="0050632E">
        <w:rPr>
          <w:rFonts w:ascii="Arial" w:hAnsi="Arial" w:cs="Arial"/>
          <w:sz w:val="28"/>
          <w:szCs w:val="28"/>
          <w:u w:val="single"/>
          <w:lang w:val="en-US"/>
        </w:rPr>
        <w:t>Regression and model fitting</w:t>
      </w:r>
      <w:r w:rsidRPr="0050632E">
        <w:rPr>
          <w:rFonts w:ascii="Arial" w:hAnsi="Arial" w:cs="Arial"/>
          <w:sz w:val="28"/>
          <w:szCs w:val="28"/>
          <w:lang w:val="en-US"/>
        </w:rPr>
        <w:t>. Formulation of the regression problem; Linear and nonlinear regression; Regression robust to outliers; Gaussian process regression; Overfitting and underfitting.</w:t>
      </w:r>
    </w:p>
    <w:p w14:paraId="02E0DF33" w14:textId="1BFF072E" w:rsidR="00C00C82" w:rsidRPr="0050632E" w:rsidRDefault="00CC2E0E" w:rsidP="00110AD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  <w:lang w:val="en-US"/>
        </w:rPr>
      </w:pPr>
      <w:r w:rsidRPr="0050632E">
        <w:rPr>
          <w:rFonts w:ascii="Arial" w:hAnsi="Arial" w:cs="Arial"/>
          <w:sz w:val="28"/>
          <w:szCs w:val="28"/>
          <w:u w:val="single"/>
          <w:lang w:val="en-US"/>
        </w:rPr>
        <w:t>Classification</w:t>
      </w:r>
      <w:r w:rsidRPr="0050632E">
        <w:rPr>
          <w:rFonts w:ascii="Arial" w:hAnsi="Arial" w:cs="Arial"/>
          <w:sz w:val="28"/>
          <w:szCs w:val="28"/>
          <w:lang w:val="en-US"/>
        </w:rPr>
        <w:t>. Principles; K-nearest-neighbor classifier; Decision trees</w:t>
      </w:r>
      <w:r w:rsidR="00C00C82" w:rsidRPr="0050632E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30FC801" w14:textId="2800AE64" w:rsidR="005D1E7A" w:rsidRDefault="005D1E7A" w:rsidP="00054E6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3E1F7B02" w14:textId="77777777" w:rsidR="005D1E7A" w:rsidRDefault="005D1E7A" w:rsidP="00054E6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5FBCCEFE" w14:textId="77777777" w:rsidR="005D1E7A" w:rsidRDefault="005D1E7A" w:rsidP="00054E6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695DBE89" w14:textId="77777777" w:rsidR="005D1E7A" w:rsidRDefault="005D1E7A" w:rsidP="00054E6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58BEDDBB" w14:textId="77777777" w:rsidR="005D1E7A" w:rsidRDefault="005D1E7A" w:rsidP="00054E6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4C26843E" w14:textId="0A19E543" w:rsidR="005D1E7A" w:rsidRDefault="005D1E7A" w:rsidP="005D1E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noProof/>
          <w:sz w:val="24"/>
          <w:szCs w:val="24"/>
          <w:lang w:val="en-US" w:eastAsia="en-US"/>
        </w:rPr>
        <w:drawing>
          <wp:inline distT="0" distB="0" distL="0" distR="0" wp14:anchorId="77F6A50B" wp14:editId="488AA648">
            <wp:extent cx="6350000" cy="8445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  <w:lang w:val="en-US"/>
        </w:rPr>
        <w:t xml:space="preserve"> </w:t>
      </w:r>
    </w:p>
    <w:p w14:paraId="36274D14" w14:textId="1E7CEB4C" w:rsidR="00054E6C" w:rsidRDefault="005D1E7A" w:rsidP="005D1E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noProof/>
          <w:sz w:val="24"/>
          <w:szCs w:val="24"/>
          <w:lang w:val="en-US" w:eastAsia="en-US"/>
        </w:rPr>
        <w:lastRenderedPageBreak/>
        <w:t xml:space="preserve"> </w:t>
      </w:r>
      <w:r w:rsidR="00054E6C">
        <w:rPr>
          <w:rFonts w:ascii="Times" w:hAnsi="Times" w:cs="Times"/>
          <w:noProof/>
          <w:sz w:val="24"/>
          <w:szCs w:val="24"/>
          <w:lang w:val="en-US" w:eastAsia="en-US"/>
        </w:rPr>
        <w:drawing>
          <wp:inline distT="0" distB="0" distL="0" distR="0" wp14:anchorId="30CDABD8" wp14:editId="5AE2E78A">
            <wp:extent cx="3206750" cy="63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6C">
        <w:rPr>
          <w:rFonts w:ascii="Times" w:hAnsi="Times" w:cs="Times"/>
          <w:sz w:val="24"/>
          <w:szCs w:val="24"/>
          <w:lang w:val="en-US"/>
        </w:rPr>
        <w:t xml:space="preserve">  </w:t>
      </w:r>
      <w:r w:rsidR="00054E6C">
        <w:rPr>
          <w:rFonts w:ascii="Times" w:hAnsi="Times" w:cs="Times"/>
          <w:noProof/>
          <w:sz w:val="24"/>
          <w:szCs w:val="24"/>
          <w:lang w:val="en-US" w:eastAsia="en-US"/>
        </w:rPr>
        <w:drawing>
          <wp:inline distT="0" distB="0" distL="0" distR="0" wp14:anchorId="6BB62438" wp14:editId="018E9D27">
            <wp:extent cx="3206750" cy="63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C6D62" w14:textId="445CBFB8" w:rsidR="006C303E" w:rsidRDefault="00054E6C" w:rsidP="005D1E7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8"/>
          <w:szCs w:val="38"/>
          <w:lang w:val="en-US"/>
        </w:rPr>
        <w:t>Bibliography</w:t>
      </w:r>
      <w:r>
        <w:rPr>
          <w:rFonts w:ascii="Arial" w:hAnsi="Arial" w:cs="Arial"/>
          <w:sz w:val="38"/>
          <w:szCs w:val="38"/>
          <w:lang w:val="en-US"/>
        </w:rPr>
        <w:t>: </w:t>
      </w:r>
    </w:p>
    <w:p w14:paraId="627A1B0C" w14:textId="0176B3AE" w:rsidR="00CC2E0E" w:rsidRPr="00CC2E0E" w:rsidRDefault="00CC2E0E" w:rsidP="00CC2E0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</w:t>
      </w:r>
      <w:r w:rsidRPr="00CC2E0E">
        <w:rPr>
          <w:sz w:val="32"/>
          <w:szCs w:val="32"/>
          <w:lang w:val="en-US"/>
        </w:rPr>
        <w:t xml:space="preserve">tatistics, Data Mining, and Machine Learning in Astronomy, by Z. </w:t>
      </w:r>
      <w:proofErr w:type="spellStart"/>
      <w:r w:rsidRPr="00CC2E0E">
        <w:rPr>
          <w:sz w:val="32"/>
          <w:szCs w:val="32"/>
          <w:lang w:val="en-US"/>
        </w:rPr>
        <w:t>Ivencić</w:t>
      </w:r>
      <w:proofErr w:type="spellEnd"/>
      <w:r w:rsidRPr="00CC2E0E">
        <w:rPr>
          <w:sz w:val="32"/>
          <w:szCs w:val="32"/>
          <w:lang w:val="en-US"/>
        </w:rPr>
        <w:t xml:space="preserve"> et al. Princeton, NJ: Princeton University Press, 2014</w:t>
      </w:r>
    </w:p>
    <w:p w14:paraId="76615993" w14:textId="77777777" w:rsidR="00E748AB" w:rsidRDefault="00CC2E0E" w:rsidP="00E748A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sz w:val="32"/>
          <w:szCs w:val="32"/>
          <w:lang w:val="en-US"/>
        </w:rPr>
      </w:pPr>
      <w:r w:rsidRPr="00CC2E0E">
        <w:rPr>
          <w:sz w:val="32"/>
          <w:szCs w:val="32"/>
          <w:lang w:val="en-US"/>
        </w:rPr>
        <w:t xml:space="preserve">Modern Statistical Methods for Astronomy, by Eric D. </w:t>
      </w:r>
      <w:proofErr w:type="spellStart"/>
      <w:r w:rsidRPr="00CC2E0E">
        <w:rPr>
          <w:sz w:val="32"/>
          <w:szCs w:val="32"/>
          <w:lang w:val="en-US"/>
        </w:rPr>
        <w:t>Feigelson</w:t>
      </w:r>
      <w:proofErr w:type="spellEnd"/>
      <w:r w:rsidRPr="00CC2E0E">
        <w:rPr>
          <w:sz w:val="32"/>
          <w:szCs w:val="32"/>
          <w:lang w:val="en-US"/>
        </w:rPr>
        <w:t xml:space="preserve"> , G. </w:t>
      </w:r>
      <w:proofErr w:type="spellStart"/>
      <w:r w:rsidRPr="00CC2E0E">
        <w:rPr>
          <w:sz w:val="32"/>
          <w:szCs w:val="32"/>
          <w:lang w:val="en-US"/>
        </w:rPr>
        <w:t>Jogesh</w:t>
      </w:r>
      <w:proofErr w:type="spellEnd"/>
      <w:r w:rsidRPr="00CC2E0E">
        <w:rPr>
          <w:sz w:val="32"/>
          <w:szCs w:val="32"/>
          <w:lang w:val="en-US"/>
        </w:rPr>
        <w:t xml:space="preserve"> Babu, Cambridge, UK: Cambridge University Press, 2012</w:t>
      </w:r>
    </w:p>
    <w:p w14:paraId="11C7D347" w14:textId="2B69013D" w:rsidR="0050632E" w:rsidRPr="00E748AB" w:rsidRDefault="0050632E" w:rsidP="00E748A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sz w:val="32"/>
          <w:szCs w:val="32"/>
          <w:lang w:val="en-US"/>
        </w:rPr>
      </w:pPr>
      <w:r w:rsidRPr="00E748AB">
        <w:rPr>
          <w:sz w:val="32"/>
          <w:szCs w:val="32"/>
          <w:lang w:val="en-US"/>
        </w:rPr>
        <w:t>Practical Bayesian Inference: A Primer for Physical Scientists</w:t>
      </w:r>
      <w:r w:rsidRPr="00E748AB">
        <w:rPr>
          <w:sz w:val="32"/>
          <w:szCs w:val="32"/>
          <w:lang w:val="en-US"/>
        </w:rPr>
        <w:t xml:space="preserve"> by C.</w:t>
      </w:r>
      <w:r w:rsidR="00E748AB" w:rsidRPr="00E748AB">
        <w:rPr>
          <w:sz w:val="32"/>
          <w:szCs w:val="32"/>
          <w:lang w:val="en-US"/>
        </w:rPr>
        <w:t xml:space="preserve"> </w:t>
      </w:r>
      <w:r w:rsidRPr="00E748AB">
        <w:rPr>
          <w:sz w:val="32"/>
          <w:szCs w:val="32"/>
          <w:lang w:val="en-US"/>
        </w:rPr>
        <w:t>Bailer-Jones, Cambridge</w:t>
      </w:r>
      <w:r w:rsidRPr="00E748AB">
        <w:rPr>
          <w:sz w:val="32"/>
          <w:szCs w:val="32"/>
          <w:lang w:val="en-US"/>
        </w:rPr>
        <w:t xml:space="preserve"> UK</w:t>
      </w:r>
      <w:r w:rsidRPr="00E748AB">
        <w:rPr>
          <w:sz w:val="32"/>
          <w:szCs w:val="32"/>
          <w:lang w:val="en-US"/>
        </w:rPr>
        <w:t>: Cambridge University Press</w:t>
      </w:r>
      <w:r w:rsidRPr="00E748AB">
        <w:rPr>
          <w:sz w:val="32"/>
          <w:szCs w:val="32"/>
          <w:lang w:val="en-US"/>
        </w:rPr>
        <w:t>, 2017</w:t>
      </w:r>
    </w:p>
    <w:p w14:paraId="04C29418" w14:textId="77777777" w:rsidR="00CC2E0E" w:rsidRPr="00CC2E0E" w:rsidRDefault="00CC2E0E" w:rsidP="00CC2E0E">
      <w:pPr>
        <w:widowControl w:val="0"/>
        <w:autoSpaceDE w:val="0"/>
        <w:autoSpaceDN w:val="0"/>
        <w:adjustRightInd w:val="0"/>
        <w:spacing w:after="240" w:line="240" w:lineRule="auto"/>
        <w:rPr>
          <w:sz w:val="32"/>
          <w:szCs w:val="32"/>
          <w:lang w:val="en-US"/>
        </w:rPr>
      </w:pPr>
    </w:p>
    <w:p w14:paraId="3533BF33" w14:textId="4814BC92" w:rsidR="005D1E7A" w:rsidRPr="00CC2E0E" w:rsidRDefault="005D1E7A" w:rsidP="005D1E7A">
      <w:pPr>
        <w:widowControl w:val="0"/>
        <w:autoSpaceDE w:val="0"/>
        <w:autoSpaceDN w:val="0"/>
        <w:adjustRightInd w:val="0"/>
        <w:spacing w:after="240" w:line="240" w:lineRule="auto"/>
        <w:rPr>
          <w:lang w:val="en-US"/>
        </w:rPr>
      </w:pPr>
    </w:p>
    <w:p w14:paraId="78BD0FDB" w14:textId="77777777" w:rsidR="007B1BA8" w:rsidRPr="00CC2E0E" w:rsidRDefault="007B1BA8" w:rsidP="00DE685B">
      <w:pPr>
        <w:tabs>
          <w:tab w:val="left" w:pos="5783"/>
        </w:tabs>
        <w:rPr>
          <w:lang w:val="en-US"/>
        </w:rPr>
      </w:pPr>
    </w:p>
    <w:sectPr w:rsidR="007B1BA8" w:rsidRPr="00CC2E0E" w:rsidSect="000B475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C28F5" w14:textId="77777777" w:rsidR="0005005E" w:rsidRDefault="0005005E" w:rsidP="007E1AE5">
      <w:pPr>
        <w:spacing w:after="0" w:line="240" w:lineRule="auto"/>
      </w:pPr>
      <w:r>
        <w:separator/>
      </w:r>
    </w:p>
  </w:endnote>
  <w:endnote w:type="continuationSeparator" w:id="0">
    <w:p w14:paraId="5A89D9DC" w14:textId="77777777" w:rsidR="0005005E" w:rsidRDefault="0005005E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8F00" w14:textId="77777777" w:rsidR="00054E6C" w:rsidRPr="00207C64" w:rsidRDefault="00054E6C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944A69F" w14:textId="77777777" w:rsidR="00054E6C" w:rsidRPr="006C303E" w:rsidRDefault="00054E6C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E6D1" w14:textId="77777777" w:rsidR="00054E6C" w:rsidRPr="00207C64" w:rsidRDefault="00054E6C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187D3C3" w14:textId="77777777" w:rsidR="00054E6C" w:rsidRPr="004768E4" w:rsidRDefault="00054E6C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7BAA" w14:textId="77777777" w:rsidR="0005005E" w:rsidRDefault="0005005E" w:rsidP="007E1AE5">
      <w:pPr>
        <w:spacing w:after="0" w:line="240" w:lineRule="auto"/>
      </w:pPr>
      <w:r>
        <w:separator/>
      </w:r>
    </w:p>
  </w:footnote>
  <w:footnote w:type="continuationSeparator" w:id="0">
    <w:p w14:paraId="1B102953" w14:textId="77777777" w:rsidR="0005005E" w:rsidRDefault="0005005E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868"/>
    </w:tblGrid>
    <w:tr w:rsidR="00054E6C" w14:paraId="6EF492F9" w14:textId="77777777" w:rsidTr="000B4751">
      <w:trPr>
        <w:trHeight w:val="488"/>
      </w:trPr>
      <w:tc>
        <w:tcPr>
          <w:tcW w:w="5000" w:type="pct"/>
        </w:tcPr>
        <w:p w14:paraId="4758592A" w14:textId="77777777" w:rsidR="00054E6C" w:rsidRDefault="00054E6C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Università degli Studi di Catania - 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ipartimento  di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2361833D" w14:textId="77777777" w:rsidR="00054E6C" w:rsidRPr="00C32738" w:rsidRDefault="00054E6C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37B7562A" w14:textId="77777777" w:rsidR="00054E6C" w:rsidRPr="0013419D" w:rsidRDefault="00054E6C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660"/>
      <w:gridCol w:w="7208"/>
    </w:tblGrid>
    <w:tr w:rsidR="00054E6C" w:rsidRPr="00C32738" w14:paraId="49DCFD09" w14:textId="77777777" w:rsidTr="006C303E">
      <w:trPr>
        <w:trHeight w:val="942"/>
      </w:trPr>
      <w:tc>
        <w:tcPr>
          <w:tcW w:w="1348" w:type="pct"/>
          <w:vMerge w:val="restart"/>
        </w:tcPr>
        <w:p w14:paraId="2F362872" w14:textId="77777777" w:rsidR="00054E6C" w:rsidRPr="00C32738" w:rsidRDefault="00054E6C" w:rsidP="00764793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  <w:lang w:val="en-US" w:eastAsia="en-US"/>
            </w:rPr>
            <w:drawing>
              <wp:inline distT="0" distB="0" distL="0" distR="0" wp14:anchorId="38816671" wp14:editId="5743E20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4BBA6C63" w14:textId="77777777" w:rsidR="00054E6C" w:rsidRPr="006C303E" w:rsidRDefault="00054E6C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6244073B" wp14:editId="66D63B99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di 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054E6C" w:rsidRPr="00C32738" w14:paraId="5910D542" w14:textId="77777777" w:rsidTr="006C303E">
      <w:trPr>
        <w:trHeight w:val="520"/>
      </w:trPr>
      <w:tc>
        <w:tcPr>
          <w:tcW w:w="1348" w:type="pct"/>
          <w:vMerge/>
        </w:tcPr>
        <w:p w14:paraId="3DE431C3" w14:textId="77777777" w:rsidR="00054E6C" w:rsidRPr="00C32738" w:rsidRDefault="00054E6C" w:rsidP="00764793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14BD9A5E" w14:textId="77777777" w:rsidR="00054E6C" w:rsidRDefault="00054E6C" w:rsidP="00945162">
          <w:pPr>
            <w:pStyle w:val="Intestazione"/>
            <w:tabs>
              <w:tab w:val="clear" w:pos="4819"/>
              <w:tab w:val="center" w:pos="3812"/>
            </w:tabs>
            <w:jc w:val="center"/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</w:pPr>
          <w:proofErr w:type="spellStart"/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o</w:t>
          </w:r>
          <w:r w:rsidRPr="00945162">
            <w:rPr>
              <w:rFonts w:ascii="Georgia" w:eastAsiaTheme="majorEastAsia" w:hAnsi="Georgia" w:cstheme="majorBidi"/>
              <w:smallCaps/>
              <w:color w:val="373534"/>
              <w:sz w:val="24"/>
              <w:szCs w:val="24"/>
            </w:rPr>
            <w:t>T</w:t>
          </w:r>
          <w:r>
            <w:rPr>
              <w:rFonts w:ascii="Georgia" w:eastAsiaTheme="majorEastAsia" w:hAnsi="Georgia" w:cstheme="majorBidi"/>
              <w:smallCaps/>
              <w:color w:val="373534"/>
              <w:sz w:val="24"/>
              <w:szCs w:val="24"/>
            </w:rPr>
            <w:t>TORATO</w:t>
          </w:r>
          <w:proofErr w:type="spellEnd"/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di </w:t>
          </w:r>
          <w:r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</w:t>
          </w:r>
          <w:r w:rsidRPr="00945162">
            <w:rPr>
              <w:rFonts w:ascii="Georgia" w:eastAsiaTheme="majorEastAsia" w:hAnsi="Georgia" w:cstheme="majorBidi"/>
              <w:b/>
              <w:smallCaps/>
              <w:color w:val="373534"/>
              <w:sz w:val="24"/>
              <w:szCs w:val="24"/>
            </w:rPr>
            <w:t>R</w:t>
          </w:r>
          <w:r>
            <w:rPr>
              <w:rFonts w:ascii="Georgia" w:eastAsiaTheme="majorEastAsia" w:hAnsi="Georgia" w:cstheme="majorBidi"/>
              <w:smallCaps/>
              <w:color w:val="373534"/>
              <w:sz w:val="24"/>
              <w:szCs w:val="24"/>
            </w:rPr>
            <w:t>ICERCA IN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</w:t>
          </w:r>
          <w:r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isica</w:t>
          </w:r>
        </w:p>
        <w:p w14:paraId="7655EA77" w14:textId="2B1FCF3D" w:rsidR="008E746E" w:rsidRPr="008E746E" w:rsidRDefault="008E746E" w:rsidP="00945162">
          <w:pPr>
            <w:pStyle w:val="Intestazione"/>
            <w:tabs>
              <w:tab w:val="clear" w:pos="4819"/>
              <w:tab w:val="center" w:pos="3812"/>
            </w:tabs>
            <w:jc w:val="center"/>
            <w:rPr>
              <w:rFonts w:asciiTheme="majorHAnsi" w:eastAsiaTheme="majorEastAsia" w:hAnsiTheme="majorHAnsi" w:cstheme="majorBidi"/>
              <w:color w:val="373534"/>
            </w:rPr>
          </w:pPr>
          <w:r>
            <w:rPr>
              <w:rFonts w:ascii="Georgia" w:eastAsiaTheme="majorEastAsia" w:hAnsi="Georgia" w:cstheme="majorBidi"/>
              <w:smallCaps/>
              <w:color w:val="373534"/>
            </w:rPr>
            <w:t>Anno accademico 20</w:t>
          </w:r>
          <w:r w:rsidR="0072754D">
            <w:rPr>
              <w:rFonts w:ascii="Georgia" w:eastAsiaTheme="majorEastAsia" w:hAnsi="Georgia" w:cstheme="majorBidi"/>
              <w:smallCaps/>
              <w:color w:val="373534"/>
            </w:rPr>
            <w:t>20</w:t>
          </w:r>
          <w:r>
            <w:rPr>
              <w:rFonts w:ascii="Georgia" w:eastAsiaTheme="majorEastAsia" w:hAnsi="Georgia" w:cstheme="majorBidi"/>
              <w:smallCaps/>
              <w:color w:val="373534"/>
            </w:rPr>
            <w:t>/202</w:t>
          </w:r>
          <w:r w:rsidR="0072754D">
            <w:rPr>
              <w:rFonts w:ascii="Georgia" w:eastAsiaTheme="majorEastAsia" w:hAnsi="Georgia" w:cstheme="majorBidi"/>
              <w:smallCaps/>
              <w:color w:val="373534"/>
            </w:rPr>
            <w:t>1</w:t>
          </w:r>
        </w:p>
      </w:tc>
    </w:tr>
  </w:tbl>
  <w:p w14:paraId="75D232E5" w14:textId="77777777" w:rsidR="00054E6C" w:rsidRDefault="00054E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542"/>
    <w:multiLevelType w:val="hybridMultilevel"/>
    <w:tmpl w:val="7CC633F6"/>
    <w:lvl w:ilvl="0" w:tplc="CE0AE7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772B"/>
    <w:multiLevelType w:val="hybridMultilevel"/>
    <w:tmpl w:val="1AE08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70DB"/>
    <w:multiLevelType w:val="hybridMultilevel"/>
    <w:tmpl w:val="70525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BD0"/>
    <w:rsid w:val="0005005E"/>
    <w:rsid w:val="00054E6C"/>
    <w:rsid w:val="0007424B"/>
    <w:rsid w:val="0009788A"/>
    <w:rsid w:val="000B45B9"/>
    <w:rsid w:val="000B4751"/>
    <w:rsid w:val="000C5338"/>
    <w:rsid w:val="00110AD0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B04ED"/>
    <w:rsid w:val="002D35A1"/>
    <w:rsid w:val="002E37A0"/>
    <w:rsid w:val="0032692D"/>
    <w:rsid w:val="003423E1"/>
    <w:rsid w:val="00353FEF"/>
    <w:rsid w:val="0036001F"/>
    <w:rsid w:val="00374731"/>
    <w:rsid w:val="003A2D3A"/>
    <w:rsid w:val="003E0643"/>
    <w:rsid w:val="004135E3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0632E"/>
    <w:rsid w:val="00525CA2"/>
    <w:rsid w:val="00526B59"/>
    <w:rsid w:val="0056132D"/>
    <w:rsid w:val="00577BCB"/>
    <w:rsid w:val="005D1E7A"/>
    <w:rsid w:val="005D4A11"/>
    <w:rsid w:val="005F18A6"/>
    <w:rsid w:val="006029BF"/>
    <w:rsid w:val="00602D9D"/>
    <w:rsid w:val="006524A8"/>
    <w:rsid w:val="00677A53"/>
    <w:rsid w:val="006C303E"/>
    <w:rsid w:val="007213A6"/>
    <w:rsid w:val="0072754D"/>
    <w:rsid w:val="00764793"/>
    <w:rsid w:val="007B1BA8"/>
    <w:rsid w:val="007B319C"/>
    <w:rsid w:val="007D50B6"/>
    <w:rsid w:val="007E1AE5"/>
    <w:rsid w:val="00833A7C"/>
    <w:rsid w:val="0085067D"/>
    <w:rsid w:val="008746F5"/>
    <w:rsid w:val="008E746E"/>
    <w:rsid w:val="009117FB"/>
    <w:rsid w:val="00945162"/>
    <w:rsid w:val="009B2F04"/>
    <w:rsid w:val="009D330C"/>
    <w:rsid w:val="00A25CCF"/>
    <w:rsid w:val="00A27036"/>
    <w:rsid w:val="00A53273"/>
    <w:rsid w:val="00A627F7"/>
    <w:rsid w:val="00A92F2E"/>
    <w:rsid w:val="00AA4FCD"/>
    <w:rsid w:val="00AD79A2"/>
    <w:rsid w:val="00AE0513"/>
    <w:rsid w:val="00AE2AB4"/>
    <w:rsid w:val="00AE5135"/>
    <w:rsid w:val="00B162BA"/>
    <w:rsid w:val="00B22EC9"/>
    <w:rsid w:val="00B57A1D"/>
    <w:rsid w:val="00B751BD"/>
    <w:rsid w:val="00BA3501"/>
    <w:rsid w:val="00BC48E0"/>
    <w:rsid w:val="00BC7CEA"/>
    <w:rsid w:val="00C00C82"/>
    <w:rsid w:val="00C21774"/>
    <w:rsid w:val="00C32738"/>
    <w:rsid w:val="00C67F9B"/>
    <w:rsid w:val="00CA4FB4"/>
    <w:rsid w:val="00CC2E0E"/>
    <w:rsid w:val="00CD2308"/>
    <w:rsid w:val="00CD2BD0"/>
    <w:rsid w:val="00D33DBC"/>
    <w:rsid w:val="00D369C0"/>
    <w:rsid w:val="00D60436"/>
    <w:rsid w:val="00DE685B"/>
    <w:rsid w:val="00E14531"/>
    <w:rsid w:val="00E438A4"/>
    <w:rsid w:val="00E65932"/>
    <w:rsid w:val="00E748AB"/>
    <w:rsid w:val="00E9762B"/>
    <w:rsid w:val="00F45A30"/>
    <w:rsid w:val="00F527E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49D4D2"/>
  <w15:docId w15:val="{80CE7A85-9552-D54B-AEE6-D4C3FA00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6A9353-E0E9-694F-BA91-AE28EAD1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Alessandro Lanzafame</cp:lastModifiedBy>
  <cp:revision>4</cp:revision>
  <cp:lastPrinted>2019-03-08T11:42:00Z</cp:lastPrinted>
  <dcterms:created xsi:type="dcterms:W3CDTF">2019-10-06T04:46:00Z</dcterms:created>
  <dcterms:modified xsi:type="dcterms:W3CDTF">2021-03-19T18:36:00Z</dcterms:modified>
</cp:coreProperties>
</file>