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8221" w14:textId="77777777" w:rsidR="007B1BA8" w:rsidRPr="00087189" w:rsidRDefault="007B1BA8" w:rsidP="00041010">
      <w:pPr>
        <w:tabs>
          <w:tab w:val="left" w:pos="5783"/>
        </w:tabs>
        <w:jc w:val="center"/>
        <w:rPr>
          <w:b/>
          <w:sz w:val="28"/>
        </w:rPr>
      </w:pPr>
    </w:p>
    <w:p w14:paraId="6891F9F2" w14:textId="2616C26B" w:rsidR="00041010" w:rsidRPr="00087189" w:rsidRDefault="00A5785D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87189">
        <w:rPr>
          <w:rFonts w:ascii="Times New Roman" w:hAnsi="Times New Roman" w:cs="Times New Roman"/>
          <w:b/>
          <w:sz w:val="28"/>
          <w:lang w:val="en-US"/>
        </w:rPr>
        <w:t>PLAN OF STUDY A.A. 202</w:t>
      </w:r>
      <w:r w:rsidR="00000C33">
        <w:rPr>
          <w:rFonts w:ascii="Times New Roman" w:hAnsi="Times New Roman" w:cs="Times New Roman"/>
          <w:b/>
          <w:sz w:val="28"/>
          <w:lang w:val="en-US"/>
        </w:rPr>
        <w:t>4</w:t>
      </w:r>
      <w:r w:rsidRPr="00087189">
        <w:rPr>
          <w:rFonts w:ascii="Times New Roman" w:hAnsi="Times New Roman" w:cs="Times New Roman"/>
          <w:b/>
          <w:sz w:val="28"/>
          <w:lang w:val="en-US"/>
        </w:rPr>
        <w:t>/202</w:t>
      </w:r>
      <w:r w:rsidR="00000C33">
        <w:rPr>
          <w:rFonts w:ascii="Times New Roman" w:hAnsi="Times New Roman" w:cs="Times New Roman"/>
          <w:b/>
          <w:sz w:val="28"/>
          <w:lang w:val="en-US"/>
        </w:rPr>
        <w:t>5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D2D2F">
        <w:rPr>
          <w:rFonts w:ascii="Times New Roman" w:hAnsi="Times New Roman" w:cs="Times New Roman"/>
          <w:lang w:val="en-US"/>
        </w:rPr>
        <w:t>E-</w:t>
      </w:r>
      <w:r w:rsidRPr="003D2D2F">
        <w:rPr>
          <w:rFonts w:ascii="Times New Roman" w:hAnsi="Times New Roman" w:cs="Times New Roman"/>
          <w:lang w:val="en-US"/>
        </w:rPr>
        <w:t>mail:…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394"/>
        <w:gridCol w:w="4418"/>
        <w:gridCol w:w="851"/>
        <w:gridCol w:w="3260"/>
      </w:tblGrid>
      <w:tr w:rsidR="00F23C3F" w:rsidRPr="00A5785D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599BC53E" w:rsidR="00F23C3F" w:rsidRPr="003D2D2F" w:rsidRDefault="00F23C3F" w:rsidP="00F334FD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 xml:space="preserve">CURRICULUM </w:t>
            </w:r>
            <w:r w:rsidR="00BC74B8" w:rsidRPr="00BC74B8">
              <w:rPr>
                <w:rFonts w:ascii="Arial" w:hAnsi="Arial" w:cs="Arial"/>
                <w:b/>
                <w:i/>
              </w:rPr>
              <w:t xml:space="preserve">APPLIED </w:t>
            </w:r>
            <w:r w:rsidR="00F334FD" w:rsidRPr="00BC74B8">
              <w:rPr>
                <w:rFonts w:ascii="Arial" w:hAnsi="Arial" w:cs="Arial"/>
                <w:b/>
                <w:i/>
              </w:rPr>
              <w:t>PHYSICS</w:t>
            </w:r>
          </w:p>
        </w:tc>
      </w:tr>
      <w:tr w:rsidR="003D2D2F" w14:paraId="01771019" w14:textId="77777777" w:rsidTr="003D2D2F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394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418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851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260" w:type="dxa"/>
          </w:tcPr>
          <w:p w14:paraId="11618C00" w14:textId="77777777" w:rsidR="003D2D2F" w:rsidRPr="00A5785D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A5785D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4FB1403C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73BCD034" w14:textId="77777777" w:rsidTr="00AE0FC3">
        <w:trPr>
          <w:trHeight w:val="275"/>
        </w:trPr>
        <w:tc>
          <w:tcPr>
            <w:tcW w:w="293" w:type="dxa"/>
          </w:tcPr>
          <w:p w14:paraId="5F4F9B01" w14:textId="77777777" w:rsidR="002C4205" w:rsidRDefault="002C4205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BFA5653" w14:textId="68676676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1DCE6347" w14:textId="6B4D7CFD" w:rsidR="002C4205" w:rsidRDefault="002C4205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851" w:type="dxa"/>
          </w:tcPr>
          <w:p w14:paraId="11C36C51" w14:textId="77777777" w:rsidR="002C4205" w:rsidRDefault="002C4205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11F2AE2" w14:textId="77777777" w:rsidR="002C4205" w:rsidRDefault="002C4205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2C4205" w14:paraId="3262D1A8" w14:textId="77777777" w:rsidTr="00AE0FC3">
        <w:trPr>
          <w:trHeight w:val="554"/>
        </w:trPr>
        <w:tc>
          <w:tcPr>
            <w:tcW w:w="293" w:type="dxa"/>
          </w:tcPr>
          <w:p w14:paraId="2D8C4C42" w14:textId="77777777" w:rsidR="002C4205" w:rsidRDefault="002C4205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5CBDC43C" w14:textId="1924F51D" w:rsidR="002C4205" w:rsidRDefault="00AE0FC3" w:rsidP="00AE0FC3">
            <w:pPr>
              <w:pStyle w:val="TableParagraph"/>
              <w:spacing w:line="264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2C4205"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771E24CF" w14:textId="3214BE20" w:rsidR="002C4205" w:rsidRDefault="002C4205" w:rsidP="00AE0FC3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>Solid-State Physics</w:t>
            </w:r>
          </w:p>
        </w:tc>
        <w:tc>
          <w:tcPr>
            <w:tcW w:w="851" w:type="dxa"/>
          </w:tcPr>
          <w:p w14:paraId="5A77126F" w14:textId="77777777" w:rsidR="002C4205" w:rsidRDefault="002C4205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250B0245" w14:textId="77777777" w:rsidR="002C4205" w:rsidRDefault="002C4205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A8F84D9" w14:textId="77777777" w:rsidTr="00AE0FC3">
        <w:trPr>
          <w:trHeight w:val="275"/>
        </w:trPr>
        <w:tc>
          <w:tcPr>
            <w:tcW w:w="293" w:type="dxa"/>
          </w:tcPr>
          <w:p w14:paraId="1411E38A" w14:textId="77777777" w:rsidR="002C4205" w:rsidRDefault="002C4205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D52DFE1" w14:textId="57BCDAB8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</w:t>
            </w:r>
            <w:r w:rsidR="00164273">
              <w:rPr>
                <w:i/>
                <w:sz w:val="24"/>
              </w:rPr>
              <w:t>7</w:t>
            </w:r>
          </w:p>
        </w:tc>
        <w:tc>
          <w:tcPr>
            <w:tcW w:w="4418" w:type="dxa"/>
            <w:vAlign w:val="center"/>
          </w:tcPr>
          <w:p w14:paraId="3F637DCD" w14:textId="3652FD50" w:rsidR="002C4205" w:rsidRDefault="00164273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Medical Physics</w:t>
            </w:r>
          </w:p>
        </w:tc>
        <w:tc>
          <w:tcPr>
            <w:tcW w:w="851" w:type="dxa"/>
          </w:tcPr>
          <w:p w14:paraId="66DDEAC0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A83BA50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724EF06A" w14:textId="77777777" w:rsidTr="00AE0FC3">
        <w:trPr>
          <w:trHeight w:val="275"/>
        </w:trPr>
        <w:tc>
          <w:tcPr>
            <w:tcW w:w="293" w:type="dxa"/>
          </w:tcPr>
          <w:p w14:paraId="4EE8675A" w14:textId="77777777" w:rsidR="002C4205" w:rsidRDefault="002C4205" w:rsidP="00CC6B90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44D1BE76" w14:textId="41472F26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3D849BBF" w14:textId="75ADF1B9" w:rsidR="002C4205" w:rsidRDefault="00A54870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Biophysics</w:t>
            </w:r>
          </w:p>
        </w:tc>
        <w:tc>
          <w:tcPr>
            <w:tcW w:w="851" w:type="dxa"/>
          </w:tcPr>
          <w:p w14:paraId="2357B0ED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62B32F6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78F671B7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D65E45B" w14:textId="77777777" w:rsidR="004368F2" w:rsidRDefault="004368F2" w:rsidP="00CC6B90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4268A9A7" w14:textId="77777777" w:rsidTr="00AE0FC3">
        <w:trPr>
          <w:trHeight w:val="505"/>
        </w:trPr>
        <w:tc>
          <w:tcPr>
            <w:tcW w:w="293" w:type="dxa"/>
          </w:tcPr>
          <w:p w14:paraId="217560A9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2F09EB84" w14:textId="363728A6" w:rsidR="002C4205" w:rsidRDefault="002C4205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6A3A5458" w14:textId="77777777" w:rsidR="000A169C" w:rsidRDefault="002C4205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 xml:space="preserve"> </w:t>
            </w:r>
            <w:r w:rsidR="000A169C">
              <w:rPr>
                <w:i/>
              </w:rPr>
              <w:t>Environmental Radioactivity /</w:t>
            </w:r>
          </w:p>
          <w:p w14:paraId="647C1A2F" w14:textId="76250AA7" w:rsidR="002C4205" w:rsidRDefault="00164273" w:rsidP="00AE0FC3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rPr>
                <w:i/>
              </w:rPr>
              <w:t>Accelerator Physics and Applications</w:t>
            </w:r>
          </w:p>
        </w:tc>
        <w:tc>
          <w:tcPr>
            <w:tcW w:w="851" w:type="dxa"/>
          </w:tcPr>
          <w:p w14:paraId="08056288" w14:textId="77777777" w:rsidR="002C4205" w:rsidRDefault="002C4205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1A1ACA2" w14:textId="77777777" w:rsidR="002C4205" w:rsidRDefault="002C4205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43A15CA8" w14:textId="77777777" w:rsidTr="00AE0FC3">
        <w:trPr>
          <w:trHeight w:val="535"/>
        </w:trPr>
        <w:tc>
          <w:tcPr>
            <w:tcW w:w="293" w:type="dxa"/>
          </w:tcPr>
          <w:p w14:paraId="44414D99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917C624" w14:textId="7541C985" w:rsidR="002C4205" w:rsidRDefault="000A169C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  <w:r w:rsidR="002C4205">
              <w:rPr>
                <w:i/>
                <w:sz w:val="24"/>
              </w:rPr>
              <w:t xml:space="preserve"> FIS/0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9B037B0" w14:textId="7EC8B02B" w:rsidR="002C4205" w:rsidRDefault="00164273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Physics for Diagnostics and Therapy</w:t>
            </w:r>
            <w:r w:rsidR="000A169C" w:rsidRPr="000A169C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14:paraId="48550054" w14:textId="77777777" w:rsidR="002C4205" w:rsidRDefault="002C4205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FFA627D" w14:textId="77777777" w:rsidR="002C4205" w:rsidRDefault="002C4205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B00300B" w14:textId="77777777" w:rsidTr="00AE0FC3">
        <w:trPr>
          <w:trHeight w:val="275"/>
        </w:trPr>
        <w:tc>
          <w:tcPr>
            <w:tcW w:w="293" w:type="dxa"/>
          </w:tcPr>
          <w:p w14:paraId="206C6DA1" w14:textId="77777777" w:rsidR="002C4205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394" w:type="dxa"/>
            <w:vAlign w:val="center"/>
          </w:tcPr>
          <w:p w14:paraId="7AB66FBC" w14:textId="244EFD60" w:rsidR="002C4205" w:rsidRDefault="002C4205" w:rsidP="00AE0FC3">
            <w:pPr>
              <w:pStyle w:val="TableParagraph"/>
              <w:spacing w:line="256" w:lineRule="exact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1CCD2089" w14:textId="47321B2B" w:rsidR="003F3ECE" w:rsidRDefault="00164273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 xml:space="preserve">Electronics and Applications </w:t>
            </w:r>
            <w:r w:rsidR="003F3ECE">
              <w:rPr>
                <w:i/>
              </w:rPr>
              <w:t>/</w:t>
            </w:r>
          </w:p>
          <w:p w14:paraId="43E96C9E" w14:textId="4D6E5559" w:rsidR="002C4205" w:rsidRDefault="003F3ECE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Machine Learning for Physics</w:t>
            </w:r>
          </w:p>
        </w:tc>
        <w:tc>
          <w:tcPr>
            <w:tcW w:w="851" w:type="dxa"/>
          </w:tcPr>
          <w:p w14:paraId="6CF8C3D6" w14:textId="77777777" w:rsidR="002C4205" w:rsidRDefault="002C4205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DCBCD" w14:textId="61D046ED" w:rsidR="002C4205" w:rsidRPr="00BE6BA3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  <w:lang w:val="it-IT"/>
              </w:rPr>
            </w:pPr>
          </w:p>
        </w:tc>
      </w:tr>
      <w:tr w:rsidR="002C4205" w14:paraId="502BE195" w14:textId="77777777" w:rsidTr="00AE0FC3">
        <w:trPr>
          <w:trHeight w:val="275"/>
        </w:trPr>
        <w:tc>
          <w:tcPr>
            <w:tcW w:w="293" w:type="dxa"/>
          </w:tcPr>
          <w:p w14:paraId="0951C501" w14:textId="77777777" w:rsidR="002C4205" w:rsidRPr="00BE6BA3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  <w:lang w:val="it-IT"/>
              </w:rPr>
            </w:pPr>
          </w:p>
        </w:tc>
        <w:tc>
          <w:tcPr>
            <w:tcW w:w="1394" w:type="dxa"/>
            <w:vAlign w:val="center"/>
          </w:tcPr>
          <w:p w14:paraId="20FF7DCC" w14:textId="5396A12E" w:rsidR="002C4205" w:rsidRDefault="002C4205" w:rsidP="00AE0FC3">
            <w:pPr>
              <w:pStyle w:val="TableParagraph"/>
              <w:spacing w:line="256" w:lineRule="exact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0489CB10" w14:textId="1F1A8708" w:rsidR="002C4205" w:rsidRDefault="002C4205" w:rsidP="00AE0FC3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Archaeometry</w:t>
            </w:r>
          </w:p>
        </w:tc>
        <w:tc>
          <w:tcPr>
            <w:tcW w:w="851" w:type="dxa"/>
          </w:tcPr>
          <w:p w14:paraId="353FD105" w14:textId="698A4A57" w:rsidR="002C4205" w:rsidRDefault="002C4205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C428D19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7EB47A" w14:textId="77777777" w:rsidTr="00AE0FC3">
        <w:trPr>
          <w:trHeight w:val="277"/>
        </w:trPr>
        <w:tc>
          <w:tcPr>
            <w:tcW w:w="293" w:type="dxa"/>
          </w:tcPr>
          <w:p w14:paraId="313FF528" w14:textId="77777777" w:rsidR="004368F2" w:rsidRDefault="004368F2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7DACCD3A" w14:textId="77777777" w:rsidR="004368F2" w:rsidRDefault="004368F2" w:rsidP="00AE0FC3">
            <w:pPr>
              <w:pStyle w:val="TableParagraph"/>
              <w:spacing w:line="258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694A3822" w14:textId="77777777" w:rsidR="004368F2" w:rsidRDefault="004368F2" w:rsidP="00AE0FC3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F58592D" w14:textId="77777777" w:rsidR="004368F2" w:rsidRDefault="004368F2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B61F19B" w14:textId="77777777" w:rsidR="004368F2" w:rsidRDefault="004368F2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218AD981" w14:textId="77777777" w:rsidTr="00AE0FC3">
        <w:trPr>
          <w:trHeight w:val="540"/>
        </w:trPr>
        <w:tc>
          <w:tcPr>
            <w:tcW w:w="10216" w:type="dxa"/>
            <w:gridSpan w:val="5"/>
          </w:tcPr>
          <w:p w14:paraId="32DE9F1D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6C141728" w14:textId="77777777" w:rsidTr="00AE0FC3">
        <w:trPr>
          <w:trHeight w:val="506"/>
        </w:trPr>
        <w:tc>
          <w:tcPr>
            <w:tcW w:w="293" w:type="dxa"/>
          </w:tcPr>
          <w:p w14:paraId="66C6E5A7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776535EB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0D27B0D" w14:textId="093ADD8D" w:rsidR="002C4205" w:rsidRDefault="002C4205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69DA65AF" w14:textId="61937B44" w:rsidR="002C4205" w:rsidRDefault="002C4205" w:rsidP="00AE0FC3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Spectroscopy</w:t>
            </w:r>
            <w:r w:rsidR="00164273">
              <w:rPr>
                <w:i/>
              </w:rPr>
              <w:t>/Heavy Ions Physics</w:t>
            </w:r>
          </w:p>
        </w:tc>
        <w:tc>
          <w:tcPr>
            <w:tcW w:w="851" w:type="dxa"/>
          </w:tcPr>
          <w:p w14:paraId="7A7BD0A9" w14:textId="77777777" w:rsidR="002C4205" w:rsidRDefault="002C4205" w:rsidP="00CC6B90">
            <w:pPr>
              <w:pStyle w:val="TableParagraph"/>
              <w:spacing w:before="118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B00E312" w14:textId="77777777" w:rsidR="002C4205" w:rsidRDefault="002C4205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46586FC5" w14:textId="77777777" w:rsidTr="00AE0FC3">
        <w:trPr>
          <w:trHeight w:val="498"/>
        </w:trPr>
        <w:tc>
          <w:tcPr>
            <w:tcW w:w="293" w:type="dxa"/>
          </w:tcPr>
          <w:p w14:paraId="59C94FD7" w14:textId="77777777" w:rsidR="002C4205" w:rsidRDefault="002C4205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08E41E" w14:textId="2B38ECFC" w:rsidR="002C4205" w:rsidRDefault="002C4205" w:rsidP="00AE0FC3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3F2413C9" w14:textId="1F6E0045" w:rsidR="002C4205" w:rsidRDefault="00164273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Applied Physics Laboratory</w:t>
            </w:r>
          </w:p>
        </w:tc>
        <w:tc>
          <w:tcPr>
            <w:tcW w:w="851" w:type="dxa"/>
          </w:tcPr>
          <w:p w14:paraId="6617EB65" w14:textId="77777777" w:rsidR="002C4205" w:rsidRDefault="002C4205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3EAE78AE" w14:textId="77777777" w:rsidR="002C4205" w:rsidRDefault="002C4205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164273" w:rsidRPr="00164273" w14:paraId="451FFF43" w14:textId="77777777" w:rsidTr="00AE0FC3">
        <w:trPr>
          <w:trHeight w:val="498"/>
        </w:trPr>
        <w:tc>
          <w:tcPr>
            <w:tcW w:w="293" w:type="dxa"/>
          </w:tcPr>
          <w:p w14:paraId="5E0B27D6" w14:textId="77777777" w:rsidR="00164273" w:rsidRDefault="00164273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6D041B13" w14:textId="539104BE" w:rsidR="00164273" w:rsidRDefault="00164273" w:rsidP="00AE0FC3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518F9C0A" w14:textId="5A898887" w:rsidR="00164273" w:rsidRDefault="00164273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Nuclear and Particle Physics Laboratory</w:t>
            </w:r>
          </w:p>
        </w:tc>
        <w:tc>
          <w:tcPr>
            <w:tcW w:w="851" w:type="dxa"/>
          </w:tcPr>
          <w:p w14:paraId="0D621A75" w14:textId="7D6FDB04" w:rsidR="00164273" w:rsidRDefault="00164273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079DA06C" w14:textId="77777777" w:rsidR="00164273" w:rsidRDefault="00164273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50AE7E" w14:textId="77777777" w:rsidTr="00AE0FC3">
        <w:trPr>
          <w:trHeight w:val="275"/>
        </w:trPr>
        <w:tc>
          <w:tcPr>
            <w:tcW w:w="293" w:type="dxa"/>
          </w:tcPr>
          <w:p w14:paraId="2CBBCB39" w14:textId="77777777" w:rsidR="004368F2" w:rsidRDefault="004368F2" w:rsidP="00CC6B90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3B700460" w14:textId="77777777" w:rsidR="004368F2" w:rsidRDefault="004368F2" w:rsidP="00CC6B90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5364B954" w14:textId="77777777" w:rsidR="004368F2" w:rsidRDefault="004368F2" w:rsidP="00AE0FC3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A26BF47" w14:textId="77777777" w:rsidR="004368F2" w:rsidRDefault="004368F2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B84F8FC" w14:textId="77777777" w:rsidR="004368F2" w:rsidRDefault="004368F2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453C070" w14:textId="77777777" w:rsidR="000A169C" w:rsidRDefault="000A169C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7C0A85AB" w14:textId="77777777" w:rsidR="000A169C" w:rsidRDefault="000A169C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D42F489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3D2D2F" w14:paraId="39BD325B" w14:textId="77777777" w:rsidTr="003D2D2F">
        <w:trPr>
          <w:trHeight w:val="505"/>
        </w:trPr>
        <w:tc>
          <w:tcPr>
            <w:tcW w:w="293" w:type="dxa"/>
          </w:tcPr>
          <w:p w14:paraId="0DA24BE2" w14:textId="77777777" w:rsidR="004368F2" w:rsidRDefault="004368F2" w:rsidP="00CC6B90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645D394" w14:textId="77777777" w:rsidR="004368F2" w:rsidRDefault="004368F2" w:rsidP="00CC6B90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FD28A43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4368F2" w:rsidRDefault="004368F2" w:rsidP="00CC6B90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851" w:type="dxa"/>
          </w:tcPr>
          <w:p w14:paraId="7E667699" w14:textId="77777777" w:rsidR="004368F2" w:rsidRDefault="004368F2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0" w:type="dxa"/>
          </w:tcPr>
          <w:p w14:paraId="3BE0CA49" w14:textId="77777777" w:rsidR="004368F2" w:rsidRDefault="004368F2" w:rsidP="00CC6B90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3D2D2F" w14:paraId="66DEADF6" w14:textId="77777777" w:rsidTr="003D2D2F">
        <w:trPr>
          <w:trHeight w:val="3287"/>
        </w:trPr>
        <w:tc>
          <w:tcPr>
            <w:tcW w:w="293" w:type="dxa"/>
          </w:tcPr>
          <w:p w14:paraId="2A418CC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4368F2" w:rsidRDefault="004368F2" w:rsidP="00CC6B90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8751A1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4368F2" w:rsidRDefault="004368F2" w:rsidP="00CC6B9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0E856BEB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4368F2" w:rsidRDefault="004368F2" w:rsidP="00CC6B90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4368F2" w:rsidRDefault="004368F2" w:rsidP="00CC6B90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4368F2" w:rsidRDefault="004368F2" w:rsidP="00CC6B90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851" w:type="dxa"/>
          </w:tcPr>
          <w:p w14:paraId="7FB15EF6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4368F2" w:rsidRDefault="004368F2" w:rsidP="00CC6B90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260" w:type="dxa"/>
          </w:tcPr>
          <w:p w14:paraId="12AADE8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4368F2" w:rsidRDefault="004368F2" w:rsidP="00CC6B90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03038836" w14:textId="7AAE5D37" w:rsidR="0010469F" w:rsidRDefault="0010469F" w:rsidP="0010469F">
      <w:pPr>
        <w:pStyle w:val="NormaleWeb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0372A863" w14:textId="77777777" w:rsidR="0010469F" w:rsidRPr="0010469F" w:rsidRDefault="0010469F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7DFC" w14:textId="77777777" w:rsidR="006534F3" w:rsidRDefault="006534F3" w:rsidP="007E1AE5">
      <w:pPr>
        <w:spacing w:after="0" w:line="240" w:lineRule="auto"/>
      </w:pPr>
      <w:r>
        <w:separator/>
      </w:r>
    </w:p>
  </w:endnote>
  <w:endnote w:type="continuationSeparator" w:id="0">
    <w:p w14:paraId="00DB2886" w14:textId="77777777" w:rsidR="006534F3" w:rsidRDefault="006534F3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7753" w14:textId="77777777" w:rsidR="006534F3" w:rsidRDefault="006534F3" w:rsidP="007E1AE5">
      <w:pPr>
        <w:spacing w:after="0" w:line="240" w:lineRule="auto"/>
      </w:pPr>
      <w:r>
        <w:separator/>
      </w:r>
    </w:p>
  </w:footnote>
  <w:footnote w:type="continuationSeparator" w:id="0">
    <w:p w14:paraId="38B9BF64" w14:textId="77777777" w:rsidR="006534F3" w:rsidRDefault="006534F3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isica  e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ipartimento  </w:t>
          </w:r>
          <w:r w:rsidR="004A2D06" w:rsidRPr="00F53481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isica  e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</w:t>
          </w:r>
          <w:proofErr w:type="gramStart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proofErr w:type="gramEnd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21FAF6DE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A5785D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000C33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4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000C33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00C33"/>
    <w:rsid w:val="00027E4C"/>
    <w:rsid w:val="00031728"/>
    <w:rsid w:val="00035D8D"/>
    <w:rsid w:val="00041010"/>
    <w:rsid w:val="00056778"/>
    <w:rsid w:val="00087189"/>
    <w:rsid w:val="0009788A"/>
    <w:rsid w:val="000A169C"/>
    <w:rsid w:val="000B45B9"/>
    <w:rsid w:val="000B4751"/>
    <w:rsid w:val="000C5338"/>
    <w:rsid w:val="0010469F"/>
    <w:rsid w:val="00104891"/>
    <w:rsid w:val="0013419D"/>
    <w:rsid w:val="0014435A"/>
    <w:rsid w:val="00162617"/>
    <w:rsid w:val="00164273"/>
    <w:rsid w:val="00166762"/>
    <w:rsid w:val="00177DD5"/>
    <w:rsid w:val="001909DF"/>
    <w:rsid w:val="001A133D"/>
    <w:rsid w:val="001B1660"/>
    <w:rsid w:val="001E3311"/>
    <w:rsid w:val="00207C64"/>
    <w:rsid w:val="00215A91"/>
    <w:rsid w:val="00227601"/>
    <w:rsid w:val="00241589"/>
    <w:rsid w:val="00273189"/>
    <w:rsid w:val="00283B04"/>
    <w:rsid w:val="002A4047"/>
    <w:rsid w:val="002B04ED"/>
    <w:rsid w:val="002C4205"/>
    <w:rsid w:val="002D35A1"/>
    <w:rsid w:val="002E37A0"/>
    <w:rsid w:val="0032692D"/>
    <w:rsid w:val="003423E1"/>
    <w:rsid w:val="00353FEF"/>
    <w:rsid w:val="0036001F"/>
    <w:rsid w:val="00374731"/>
    <w:rsid w:val="00386F00"/>
    <w:rsid w:val="003A2D3A"/>
    <w:rsid w:val="003D2D2F"/>
    <w:rsid w:val="003D637B"/>
    <w:rsid w:val="003E0643"/>
    <w:rsid w:val="003E0A03"/>
    <w:rsid w:val="003F3ECE"/>
    <w:rsid w:val="004135E3"/>
    <w:rsid w:val="004368F2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525CA2"/>
    <w:rsid w:val="00526B59"/>
    <w:rsid w:val="00546487"/>
    <w:rsid w:val="0056132D"/>
    <w:rsid w:val="00577BCB"/>
    <w:rsid w:val="005D4A11"/>
    <w:rsid w:val="005F18A6"/>
    <w:rsid w:val="006029BF"/>
    <w:rsid w:val="006524A8"/>
    <w:rsid w:val="006534F3"/>
    <w:rsid w:val="00677A53"/>
    <w:rsid w:val="006C303E"/>
    <w:rsid w:val="006C4507"/>
    <w:rsid w:val="007213A6"/>
    <w:rsid w:val="007B083D"/>
    <w:rsid w:val="007B1BA8"/>
    <w:rsid w:val="007B319C"/>
    <w:rsid w:val="007D50B6"/>
    <w:rsid w:val="007E1AE5"/>
    <w:rsid w:val="00833A7C"/>
    <w:rsid w:val="00845FA3"/>
    <w:rsid w:val="0085067D"/>
    <w:rsid w:val="008746F5"/>
    <w:rsid w:val="008F5D6B"/>
    <w:rsid w:val="009117FB"/>
    <w:rsid w:val="0093572D"/>
    <w:rsid w:val="009362D3"/>
    <w:rsid w:val="00961ED8"/>
    <w:rsid w:val="009B2F04"/>
    <w:rsid w:val="009D330C"/>
    <w:rsid w:val="00A25CCF"/>
    <w:rsid w:val="00A53273"/>
    <w:rsid w:val="00A54870"/>
    <w:rsid w:val="00A5785D"/>
    <w:rsid w:val="00A627F7"/>
    <w:rsid w:val="00AA4FCD"/>
    <w:rsid w:val="00AD79A2"/>
    <w:rsid w:val="00AE0513"/>
    <w:rsid w:val="00AE0FC3"/>
    <w:rsid w:val="00AE2AB4"/>
    <w:rsid w:val="00AE5135"/>
    <w:rsid w:val="00AF61CA"/>
    <w:rsid w:val="00B162BA"/>
    <w:rsid w:val="00B22EC9"/>
    <w:rsid w:val="00B37DA3"/>
    <w:rsid w:val="00B57A1D"/>
    <w:rsid w:val="00B60EB7"/>
    <w:rsid w:val="00B751BD"/>
    <w:rsid w:val="00B76770"/>
    <w:rsid w:val="00BA1D64"/>
    <w:rsid w:val="00BA3501"/>
    <w:rsid w:val="00BC48E0"/>
    <w:rsid w:val="00BC74B8"/>
    <w:rsid w:val="00BC7CEA"/>
    <w:rsid w:val="00BE6BA3"/>
    <w:rsid w:val="00C21774"/>
    <w:rsid w:val="00C21BAB"/>
    <w:rsid w:val="00C318E3"/>
    <w:rsid w:val="00C32738"/>
    <w:rsid w:val="00C67F9B"/>
    <w:rsid w:val="00CA4FB4"/>
    <w:rsid w:val="00CD2308"/>
    <w:rsid w:val="00CD2BD0"/>
    <w:rsid w:val="00CF726B"/>
    <w:rsid w:val="00D04FAA"/>
    <w:rsid w:val="00D33DBC"/>
    <w:rsid w:val="00D369C0"/>
    <w:rsid w:val="00D60436"/>
    <w:rsid w:val="00DE685B"/>
    <w:rsid w:val="00DE7697"/>
    <w:rsid w:val="00E14531"/>
    <w:rsid w:val="00E17101"/>
    <w:rsid w:val="00E438A4"/>
    <w:rsid w:val="00E65932"/>
    <w:rsid w:val="00E9762B"/>
    <w:rsid w:val="00F23C3F"/>
    <w:rsid w:val="00F334FD"/>
    <w:rsid w:val="00F45A30"/>
    <w:rsid w:val="00F527E4"/>
    <w:rsid w:val="00F53481"/>
    <w:rsid w:val="00FE2CC2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046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08C06A-1E28-45A0-8ED8-5018D350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2</cp:revision>
  <cp:lastPrinted>2019-03-08T11:42:00Z</cp:lastPrinted>
  <dcterms:created xsi:type="dcterms:W3CDTF">2025-09-19T11:47:00Z</dcterms:created>
  <dcterms:modified xsi:type="dcterms:W3CDTF">2025-09-19T11:47:00Z</dcterms:modified>
</cp:coreProperties>
</file>